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CCF67" w14:textId="77777777" w:rsidR="00C54DA8" w:rsidRDefault="00C54DA8">
      <w:pPr>
        <w:tabs>
          <w:tab w:val="left" w:pos="6237"/>
          <w:tab w:val="right" w:pos="8306"/>
        </w:tabs>
        <w:overflowPunct w:val="0"/>
        <w:textAlignment w:val="baseline"/>
        <w:rPr>
          <w:szCs w:val="24"/>
        </w:rPr>
      </w:pPr>
    </w:p>
    <w:p w14:paraId="51BCCF69" w14:textId="4EDA3132" w:rsidR="00C54DA8" w:rsidRDefault="00C54DA8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51BCCF6A" w14:textId="4BEF8B9F" w:rsidR="00C54DA8" w:rsidRPr="000E0576" w:rsidRDefault="000E0576">
      <w:pPr>
        <w:tabs>
          <w:tab w:val="left" w:pos="14656"/>
        </w:tabs>
        <w:overflowPunct w:val="0"/>
        <w:jc w:val="center"/>
        <w:textAlignment w:val="baseline"/>
        <w:rPr>
          <w:b/>
          <w:szCs w:val="24"/>
          <w:lang w:eastAsia="lt-LT"/>
        </w:rPr>
      </w:pPr>
      <w:r w:rsidRPr="000E0576">
        <w:rPr>
          <w:b/>
          <w:szCs w:val="24"/>
          <w:lang w:eastAsia="lt-LT"/>
        </w:rPr>
        <w:t>VILKAVIŠKIO R. KYBARTŲ „SAULĖS“ PROGIMANZIJA</w:t>
      </w:r>
    </w:p>
    <w:p w14:paraId="51BCCF6B" w14:textId="77777777" w:rsidR="00C54DA8" w:rsidRDefault="003868F5">
      <w:pPr>
        <w:tabs>
          <w:tab w:val="left" w:pos="14656"/>
        </w:tabs>
        <w:overflowPunct w:val="0"/>
        <w:jc w:val="center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14:paraId="51BCCF6C" w14:textId="69B6D8E4" w:rsidR="00C54DA8" w:rsidRPr="000E0576" w:rsidRDefault="000E0576">
      <w:pPr>
        <w:tabs>
          <w:tab w:val="left" w:pos="14656"/>
        </w:tabs>
        <w:overflowPunct w:val="0"/>
        <w:jc w:val="center"/>
        <w:textAlignment w:val="baseline"/>
        <w:rPr>
          <w:b/>
          <w:szCs w:val="24"/>
          <w:lang w:eastAsia="lt-LT"/>
        </w:rPr>
      </w:pPr>
      <w:r w:rsidRPr="000E0576">
        <w:rPr>
          <w:b/>
          <w:szCs w:val="24"/>
          <w:lang w:eastAsia="lt-LT"/>
        </w:rPr>
        <w:t>DIREKTORIAUS ARVYDO JUDICKO</w:t>
      </w:r>
    </w:p>
    <w:p w14:paraId="51BCCF6D" w14:textId="77777777" w:rsidR="00C54DA8" w:rsidRDefault="003868F5">
      <w:pPr>
        <w:overflowPunct w:val="0"/>
        <w:jc w:val="center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14:paraId="51BCCF6E" w14:textId="5A31AF32" w:rsidR="00C54DA8" w:rsidRDefault="00ED582F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2019 </w:t>
      </w:r>
      <w:r w:rsidR="003868F5">
        <w:rPr>
          <w:b/>
          <w:szCs w:val="24"/>
          <w:lang w:eastAsia="lt-LT"/>
        </w:rPr>
        <w:t>METŲ VEIKLOS ATASKAITA</w:t>
      </w:r>
    </w:p>
    <w:p w14:paraId="51BCCF6F" w14:textId="77777777" w:rsidR="00C54DA8" w:rsidRDefault="00C54DA8">
      <w:pPr>
        <w:overflowPunct w:val="0"/>
        <w:jc w:val="center"/>
        <w:textAlignment w:val="baseline"/>
        <w:rPr>
          <w:szCs w:val="24"/>
          <w:lang w:eastAsia="lt-LT"/>
        </w:rPr>
      </w:pPr>
    </w:p>
    <w:p w14:paraId="51BCCF70" w14:textId="3D8446F7" w:rsidR="00C54DA8" w:rsidRDefault="00EC4614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94314F">
        <w:rPr>
          <w:szCs w:val="24"/>
          <w:lang w:eastAsia="lt-LT"/>
        </w:rPr>
        <w:t>-01-14</w:t>
      </w:r>
      <w:r w:rsidR="003868F5">
        <w:rPr>
          <w:szCs w:val="24"/>
          <w:lang w:eastAsia="lt-LT"/>
        </w:rPr>
        <w:t xml:space="preserve"> Nr.</w:t>
      </w:r>
      <w:r w:rsidR="000E0576">
        <w:rPr>
          <w:szCs w:val="24"/>
          <w:lang w:eastAsia="lt-LT"/>
        </w:rPr>
        <w:t xml:space="preserve"> 1</w:t>
      </w:r>
      <w:r w:rsidR="003868F5">
        <w:rPr>
          <w:szCs w:val="24"/>
          <w:lang w:eastAsia="lt-LT"/>
        </w:rPr>
        <w:t xml:space="preserve"> </w:t>
      </w:r>
    </w:p>
    <w:p w14:paraId="51BCCF71" w14:textId="77777777" w:rsidR="00C54DA8" w:rsidRDefault="003868F5">
      <w:pPr>
        <w:overflowPunct w:val="0"/>
        <w:jc w:val="center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51BCCF72" w14:textId="4C5942D8" w:rsidR="00C54DA8" w:rsidRDefault="000E0576">
      <w:pPr>
        <w:tabs>
          <w:tab w:val="left" w:pos="3828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Kybartai</w:t>
      </w:r>
    </w:p>
    <w:p w14:paraId="51BCCF73" w14:textId="77777777" w:rsidR="00C54DA8" w:rsidRDefault="003868F5">
      <w:pPr>
        <w:tabs>
          <w:tab w:val="left" w:pos="3828"/>
        </w:tabs>
        <w:overflowPunct w:val="0"/>
        <w:jc w:val="center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51BCCF74" w14:textId="77777777" w:rsidR="00C54DA8" w:rsidRDefault="00C54DA8">
      <w:pPr>
        <w:overflowPunct w:val="0"/>
        <w:jc w:val="center"/>
        <w:textAlignment w:val="baseline"/>
        <w:rPr>
          <w:sz w:val="20"/>
          <w:lang w:eastAsia="lt-LT"/>
        </w:rPr>
      </w:pPr>
    </w:p>
    <w:p w14:paraId="51BCCF75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51BCCF76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51BCCF77" w14:textId="77777777" w:rsidR="00C54DA8" w:rsidRDefault="00C54DA8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54DA8" w14:paraId="51BCCF7A" w14:textId="77777777">
        <w:tc>
          <w:tcPr>
            <w:tcW w:w="9628" w:type="dxa"/>
          </w:tcPr>
          <w:p w14:paraId="69CA3B70" w14:textId="77777777" w:rsidR="0032722F" w:rsidRDefault="007E3CDA" w:rsidP="0032722F">
            <w:pPr>
              <w:tabs>
                <w:tab w:val="left" w:pos="851"/>
              </w:tabs>
              <w:ind w:firstLine="567"/>
              <w:jc w:val="both"/>
            </w:pPr>
            <w:r>
              <w:rPr>
                <w:sz w:val="20"/>
                <w:lang w:eastAsia="lt-LT"/>
              </w:rPr>
              <w:t xml:space="preserve">   </w:t>
            </w:r>
            <w:r>
              <w:t>Progimnazijos strateginio plano 2018-2020 metams tikslai buvo: užtikrinti kokybišką ugdymą(</w:t>
            </w:r>
            <w:proofErr w:type="spellStart"/>
            <w:r>
              <w:t>si</w:t>
            </w:r>
            <w:proofErr w:type="spellEnd"/>
            <w:r>
              <w:t xml:space="preserve">) ir tinkamą, modernią ugdymo aplinką, įdiegti duomenų analize ir įsivertinimu grįstą valdymą sudarant sąlygas mokytojams nuolat tobulinti pedagogines, dalykines bei bendrąsias kompetencijas. Atliepiant </w:t>
            </w:r>
            <w:r w:rsidR="00F06AA5">
              <w:t>į strateginio plano tikslus 2019</w:t>
            </w:r>
            <w:r>
              <w:t xml:space="preserve"> metų veiklos plano tikslai buvo: </w:t>
            </w:r>
          </w:p>
          <w:p w14:paraId="1F5CE19D" w14:textId="0E571760" w:rsidR="0032722F" w:rsidRDefault="0032722F" w:rsidP="0032722F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F94D1A">
              <w:rPr>
                <w:rFonts w:eastAsia="Calibri"/>
              </w:rPr>
              <w:t xml:space="preserve">Tobulinti pamokos kokybę, skiriant didesnį dėmesį asmeninei mokinio </w:t>
            </w:r>
            <w:proofErr w:type="spellStart"/>
            <w:r>
              <w:rPr>
                <w:rFonts w:eastAsia="Calibri"/>
              </w:rPr>
              <w:t>ūgčiai</w:t>
            </w:r>
            <w:proofErr w:type="spellEnd"/>
            <w:r>
              <w:rPr>
                <w:rFonts w:eastAsia="Calibri"/>
              </w:rPr>
              <w:t xml:space="preserve"> ir mokinių aukštesniųjų </w:t>
            </w:r>
            <w:r w:rsidRPr="00F94D1A">
              <w:rPr>
                <w:rFonts w:eastAsia="Calibri"/>
              </w:rPr>
              <w:t>gebėjimų ugdymui.</w:t>
            </w:r>
          </w:p>
          <w:p w14:paraId="7B4AA737" w14:textId="3E286FA1" w:rsidR="007E3CDA" w:rsidRDefault="0032722F" w:rsidP="0032722F">
            <w:pPr>
              <w:tabs>
                <w:tab w:val="left" w:pos="851"/>
              </w:tabs>
              <w:ind w:firstLine="567"/>
              <w:jc w:val="both"/>
            </w:pPr>
            <w:r>
              <w:t xml:space="preserve">2. </w:t>
            </w:r>
            <w:r w:rsidRPr="00D361D1">
              <w:t>Saugios aplinkos kūrimui ir prevencinės veiklos vykdymui telkti progimnazijos bendruomenę, įtraukiant mokinių tėvus( globėjus, rūpintojus).</w:t>
            </w:r>
          </w:p>
          <w:p w14:paraId="79FDD433" w14:textId="77777777" w:rsidR="007E3CDA" w:rsidRDefault="007E3CDA" w:rsidP="007E3CDA">
            <w:pPr>
              <w:spacing w:line="17" w:lineRule="exact"/>
            </w:pPr>
          </w:p>
          <w:p w14:paraId="19C2A609" w14:textId="4033FF5C" w:rsidR="007E3CDA" w:rsidRDefault="007E3CDA" w:rsidP="007E3CDA">
            <w:pPr>
              <w:spacing w:line="239" w:lineRule="auto"/>
              <w:ind w:firstLine="360"/>
              <w:jc w:val="both"/>
            </w:pPr>
            <w:r>
              <w:t>2018 metais progimnazijoje įgyvendinant iškeltus tikslus siekiant kokybiško ugdymo(</w:t>
            </w:r>
            <w:proofErr w:type="spellStart"/>
            <w:r>
              <w:t>si</w:t>
            </w:r>
            <w:proofErr w:type="spellEnd"/>
            <w:r>
              <w:t>), pasiekta, kad mokykloje gerai ir labai gerai besimokančių mokinių pa</w:t>
            </w:r>
            <w:r w:rsidR="0032722F">
              <w:t>didėjo nuo 54,1 proc. iki 55,3</w:t>
            </w:r>
            <w:r>
              <w:t xml:space="preserve"> proc. (strateginiame plane prognozuota ugdymo(</w:t>
            </w:r>
            <w:proofErr w:type="spellStart"/>
            <w:r>
              <w:t>si</w:t>
            </w:r>
            <w:proofErr w:type="spellEnd"/>
            <w:r>
              <w:t xml:space="preserve">) kokybė – 45 proc.). </w:t>
            </w:r>
            <w:r w:rsidR="0032722F">
              <w:t>2019</w:t>
            </w:r>
            <w:r>
              <w:t xml:space="preserve"> metais ženkliai pagerėjo nacionalinio mokinių pasiekimų patikrinimo rezultatai. Daugelio mokomųjų dalykų pasiekti rezultatai viršijo respublikos vidu</w:t>
            </w:r>
            <w:r w:rsidR="0032722F">
              <w:t>rkį. Progimnazijoje nuolat (kiekvieno mėnesio paskutinį ketvirtadienį</w:t>
            </w:r>
            <w:r>
              <w:t>) analizuojami ugdymo(</w:t>
            </w:r>
            <w:proofErr w:type="spellStart"/>
            <w:r>
              <w:t>si</w:t>
            </w:r>
            <w:proofErr w:type="spellEnd"/>
            <w:r>
              <w:t xml:space="preserve">) rezultatai, vykdoma vidaus stebėsena, renkami duomenys, kurie analizuojami bendruomenėje. Valdymas grindžiamas duomenų analize, įsivertinimo rezultatais. </w:t>
            </w:r>
            <w:r w:rsidR="0032722F">
              <w:t xml:space="preserve">2019 metais progimnazija pardėjo rengti mokyklos tobulinimo planą dalyvaujant ES struktūrinių fondų lėšų bendrai finansuojamo projekto „Kokybės krepšelis“. Pasirašyta trišalė sutartis tarp Nacionalinės Švietimo Agentūros, Vilkaviškio rajono savivaldybės ir progimnazijos. </w:t>
            </w:r>
            <w:r w:rsidRPr="008C039F">
              <w:t xml:space="preserve">Progimnazija dalyvauja 2017-2020 </w:t>
            </w:r>
            <w:r>
              <w:t xml:space="preserve">metų Europos Sąjungos fondų investicijų veiksmų programos 9 prioriteto „Visuomenės švietimas ir žmogiškųjų išteklių potencialo didinimas“ 09.2.1.-ESFA-V-719 priemonėje „Kokybės krepšelis“. </w:t>
            </w:r>
            <w:r w:rsidR="0032722F">
              <w:t>Nuo 2019.12.27 mokykla gavo</w:t>
            </w:r>
            <w:r>
              <w:t xml:space="preserve"> papildomą kokybės krepšelį mokinių pažangai stiprinti.</w:t>
            </w:r>
            <w:r w:rsidR="0032722F">
              <w:t xml:space="preserve"> </w:t>
            </w:r>
          </w:p>
          <w:p w14:paraId="5B686456" w14:textId="77777777" w:rsidR="007E3CDA" w:rsidRDefault="007E3CDA" w:rsidP="007E3CDA">
            <w:pPr>
              <w:spacing w:line="22" w:lineRule="exact"/>
            </w:pPr>
          </w:p>
          <w:p w14:paraId="4EDE1281" w14:textId="13C2A38A" w:rsidR="007E3CDA" w:rsidRDefault="007E3CDA" w:rsidP="007E3CDA">
            <w:pPr>
              <w:spacing w:line="237" w:lineRule="auto"/>
              <w:ind w:right="20" w:firstLine="240"/>
              <w:jc w:val="both"/>
            </w:pPr>
            <w:r>
              <w:t xml:space="preserve">Progimnazijoje sudarytos sąlygos mokiniams dalyvauti renginiuose, projektinėje veikloje, olimpiadose, konkursuose, varžybose, neformaliojo švietimo </w:t>
            </w:r>
            <w:proofErr w:type="spellStart"/>
            <w:r>
              <w:t>užsiėm</w:t>
            </w:r>
            <w:r w:rsidR="0032722F">
              <w:t>imuose</w:t>
            </w:r>
            <w:proofErr w:type="spellEnd"/>
            <w:r w:rsidR="0032722F">
              <w:t>. Progimnazijoje veikia 22</w:t>
            </w:r>
            <w:r>
              <w:t xml:space="preserve"> NŠ būreliai, kuriuos lanko apie 79 proc. mokinių. Vykdomi projektai su respublikos ir užsienio ( Lenkijos, Ispanijos</w:t>
            </w:r>
            <w:r w:rsidR="0032722F">
              <w:t>, Kroatijos, Turkijos, Rumunijos</w:t>
            </w:r>
            <w:r>
              <w:t>) mokyklomis.</w:t>
            </w:r>
            <w:r w:rsidR="0032722F">
              <w:t xml:space="preserve"> Progimnazija 2019-2020 metams gavo dotaciją </w:t>
            </w:r>
            <w:proofErr w:type="spellStart"/>
            <w:r w:rsidR="0032722F">
              <w:t>Erasmus</w:t>
            </w:r>
            <w:proofErr w:type="spellEnd"/>
            <w:r w:rsidR="0032722F">
              <w:t>+ projektui įgyvendinti. Ispanijoje vyko pirmasis projekto etapas.</w:t>
            </w:r>
          </w:p>
          <w:p w14:paraId="3878C1D8" w14:textId="77777777" w:rsidR="007E3CDA" w:rsidRDefault="007E3CDA" w:rsidP="007E3CDA">
            <w:pPr>
              <w:spacing w:line="14" w:lineRule="exact"/>
            </w:pPr>
          </w:p>
          <w:p w14:paraId="019F1B30" w14:textId="77777777" w:rsidR="00C54DA8" w:rsidRDefault="0032722F" w:rsidP="008C039F">
            <w:pPr>
              <w:spacing w:line="237" w:lineRule="auto"/>
              <w:ind w:right="20" w:firstLine="240"/>
              <w:jc w:val="both"/>
            </w:pPr>
            <w:r>
              <w:t>2019</w:t>
            </w:r>
            <w:r w:rsidR="007E3CDA">
              <w:t xml:space="preserve"> metais, tobulinant mokytojų kvalifikaciją, progimnazijoje buvo vedami seminarai kviečiant U</w:t>
            </w:r>
            <w:r w:rsidR="00316C69">
              <w:t xml:space="preserve">AB „Šviesa“ lektorius: </w:t>
            </w:r>
            <w:r w:rsidR="00316C69">
              <w:rPr>
                <w:sz w:val="22"/>
                <w:szCs w:val="22"/>
              </w:rPr>
              <w:t>„Kelias gabaus vaiko link…….</w:t>
            </w:r>
            <w:r w:rsidR="00316C69" w:rsidRPr="00D361D1">
              <w:rPr>
                <w:sz w:val="22"/>
                <w:szCs w:val="22"/>
              </w:rPr>
              <w:t>“</w:t>
            </w:r>
            <w:r w:rsidR="00316C69">
              <w:rPr>
                <w:sz w:val="22"/>
                <w:szCs w:val="22"/>
              </w:rPr>
              <w:t>, „</w:t>
            </w:r>
            <w:r w:rsidR="00316C69" w:rsidRPr="00D361D1">
              <w:rPr>
                <w:sz w:val="22"/>
                <w:szCs w:val="22"/>
              </w:rPr>
              <w:t>Pažink gabų vaiką“</w:t>
            </w:r>
            <w:r w:rsidR="00316C69">
              <w:rPr>
                <w:sz w:val="22"/>
                <w:szCs w:val="22"/>
              </w:rPr>
              <w:t>, „Idėjos klasės vadovo veiklai. Nuo tinkamo požiūrio iki efektyvaus ir nuoseklaus darbo“, „Mokytojas – lyderis“, Svaiginantis iššūkis: pagerinti visų mokinių mokymosi pasiekimus“</w:t>
            </w:r>
            <w:r w:rsidR="007E3CDA">
              <w:t>. Kryptingai vykdoma OLWEUS programos kok</w:t>
            </w:r>
            <w:r w:rsidR="00316C69">
              <w:t>ybės užtikrinimo sistema OPKUS .</w:t>
            </w:r>
          </w:p>
          <w:p w14:paraId="73E7DF7A" w14:textId="77777777" w:rsidR="008C039F" w:rsidRDefault="008C039F" w:rsidP="008C039F">
            <w:pPr>
              <w:spacing w:line="237" w:lineRule="auto"/>
              <w:ind w:right="20" w:firstLine="240"/>
              <w:jc w:val="both"/>
            </w:pPr>
            <w:r w:rsidRPr="00D361D1">
              <w:t>Progimnazijo</w:t>
            </w:r>
            <w:r>
              <w:t>s tinklalapyje nuolat atnaujinama</w:t>
            </w:r>
            <w:r w:rsidRPr="00D361D1">
              <w:t xml:space="preserve"> informaciją apie progimnazijoje vykdomą veiklą.</w:t>
            </w:r>
          </w:p>
          <w:p w14:paraId="557AACB5" w14:textId="77777777" w:rsidR="008C039F" w:rsidRDefault="008C039F" w:rsidP="008C039F">
            <w:pPr>
              <w:spacing w:line="237" w:lineRule="auto"/>
              <w:ind w:right="20" w:firstLine="240"/>
              <w:jc w:val="both"/>
            </w:pPr>
            <w:r>
              <w:t>Vykdomas individualus</w:t>
            </w:r>
            <w:r w:rsidRPr="008B39D8">
              <w:t xml:space="preserve"> prevencinis darbas su mokinių </w:t>
            </w:r>
            <w:r w:rsidRPr="00A7572B">
              <w:rPr>
                <w:rStyle w:val="Grietas"/>
                <w:rFonts w:eastAsiaTheme="majorEastAsia"/>
              </w:rPr>
              <w:t>t</w:t>
            </w:r>
            <w:r w:rsidRPr="00A7572B">
              <w:t>ėvai</w:t>
            </w:r>
            <w:r>
              <w:t xml:space="preserve">s </w:t>
            </w:r>
            <w:r w:rsidRPr="00A7572B">
              <w:t>/</w:t>
            </w:r>
            <w:r>
              <w:t xml:space="preserve"> </w:t>
            </w:r>
            <w:r w:rsidRPr="00A7572B">
              <w:t>globėjai</w:t>
            </w:r>
            <w:r>
              <w:t xml:space="preserve">s </w:t>
            </w:r>
            <w:r w:rsidRPr="00A7572B">
              <w:t>/</w:t>
            </w:r>
            <w:r>
              <w:t xml:space="preserve"> rūpintojais</w:t>
            </w:r>
            <w:r w:rsidRPr="008B39D8">
              <w:t>, sprendžiant iškilusias problemas, teikiant socialinę ir</w:t>
            </w:r>
            <w:r>
              <w:t xml:space="preserve"> </w:t>
            </w:r>
            <w:r w:rsidRPr="008B39D8">
              <w:t>/</w:t>
            </w:r>
            <w:r>
              <w:t xml:space="preserve"> </w:t>
            </w:r>
            <w:r w:rsidRPr="008B39D8">
              <w:t>ar pedagoginę pagalbą, konsultuojant.</w:t>
            </w:r>
          </w:p>
          <w:p w14:paraId="51BCCF79" w14:textId="69FD591D" w:rsidR="008C039F" w:rsidRPr="007E3CDA" w:rsidRDefault="008C039F" w:rsidP="008C039F">
            <w:pPr>
              <w:spacing w:line="237" w:lineRule="auto"/>
              <w:ind w:right="20" w:firstLine="240"/>
              <w:jc w:val="both"/>
            </w:pPr>
            <w:r>
              <w:t>Organizuotos dvi atvirų durų dienos progimnazijoje tėvams/globėjams.</w:t>
            </w:r>
          </w:p>
        </w:tc>
      </w:tr>
    </w:tbl>
    <w:p w14:paraId="51BCCF7B" w14:textId="77777777" w:rsidR="00C54DA8" w:rsidRDefault="00C54DA8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p w14:paraId="51BCCF7C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II SKYRIUS</w:t>
      </w:r>
    </w:p>
    <w:p w14:paraId="51BCCF7D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51BCCF7E" w14:textId="77777777" w:rsidR="00C54DA8" w:rsidRDefault="00C54DA8">
      <w:pPr>
        <w:overflowPunct w:val="0"/>
        <w:jc w:val="center"/>
        <w:textAlignment w:val="baseline"/>
        <w:rPr>
          <w:sz w:val="20"/>
          <w:lang w:eastAsia="lt-LT"/>
        </w:rPr>
      </w:pPr>
    </w:p>
    <w:p w14:paraId="51BCCF7F" w14:textId="77777777" w:rsidR="00C54DA8" w:rsidRDefault="003868F5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3118"/>
        <w:gridCol w:w="2807"/>
      </w:tblGrid>
      <w:tr w:rsidR="00C54DA8" w14:paraId="51BCCF84" w14:textId="77777777" w:rsidTr="0069701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80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81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82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83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EC4614" w14:paraId="51BCCF89" w14:textId="77777777" w:rsidTr="00EC4614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85" w14:textId="0BD2C572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kokybės gerinimas įsisavinant Kokybės krepšelio lėšas pagal mokyklos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tobulinimo plano veiklas.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774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1.Paruoštas ir įgyvendinamas mokyklos veiklos  tobulinimo planas, numatytos veiklos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kokybės gerinimui. Skiriamos lėšos naudojamos pagal paskirtį.</w:t>
            </w:r>
          </w:p>
          <w:p w14:paraId="51BCCF86" w14:textId="4D7CF6E9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Tinkamai atliktas pažangos matavimas atliekant įsivertinimą.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435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1.Paruoštas tobulinimo planas.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kokybė sieks 52 proc..</w:t>
            </w:r>
          </w:p>
          <w:p w14:paraId="358EDDBF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2.Pagal sutartyje numatytus terminus atsiskaityta su Kokybės krepšelio panaudojimu.</w:t>
            </w:r>
          </w:p>
          <w:p w14:paraId="51BCCF87" w14:textId="44DDAFB8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3.Mokyklos veiklos sritys „Rezultatai“, „Ugdymas(sis) ir mokinių patirtys“, „Lyderystė ir vadyba“ įvertintos ne mažesniu nei 3 lygiu.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14B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Progimnazijos veiklos tobulinimo planas suderintas su Nacionaline Švietimo Agentūra, Vilkaviškio rajono savivaldybe.</w:t>
            </w:r>
          </w:p>
          <w:p w14:paraId="7171FACA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Pasirašyta trišalė sutartis dėl „Kokybės krepšelio“ lėšų panaudojimo.</w:t>
            </w:r>
          </w:p>
          <w:p w14:paraId="6C106F6C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Pradėtas įgyvendinti projektas Nr.09.2.1.-ESFA-V-719-01-0001 „Kokybės krepšelis“</w:t>
            </w:r>
          </w:p>
          <w:p w14:paraId="51BCCF88" w14:textId="20B491AA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„Kokybės krepšelio lėšos pradedamos naudoti nuo 2020.01.02 dienos, nes lėšos į mokyklos sąskaitą pravesto</w:t>
            </w:r>
            <w:r w:rsidR="00967722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 xml:space="preserve"> 2019.12.27 dieną.</w:t>
            </w:r>
          </w:p>
        </w:tc>
      </w:tr>
      <w:tr w:rsidR="00EC4614" w14:paraId="51BCCF8E" w14:textId="77777777" w:rsidTr="0069701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8A" w14:textId="3CAF16E9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2.Modernizuoti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erdves.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8B" w14:textId="45ACB36B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Sudaryti sąlygas mokiniams dirbti ir ilsėtis modernizuotose aplinkose.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4A7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1.Įrengti vieną interaktyvią klasę 1-4 klasių mokiniams.</w:t>
            </w:r>
          </w:p>
          <w:p w14:paraId="019569E9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2.Įrengti gamtos mokslų laboratoriją 5-8 klasių mokiniams.</w:t>
            </w:r>
          </w:p>
          <w:p w14:paraId="5C0CCECF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Įrengti rekreacines </w:t>
            </w:r>
            <w:proofErr w:type="spellStart"/>
            <w:r>
              <w:rPr>
                <w:szCs w:val="24"/>
                <w:lang w:eastAsia="lt-LT"/>
              </w:rPr>
              <w:t>ardves</w:t>
            </w:r>
            <w:proofErr w:type="spellEnd"/>
            <w:r>
              <w:rPr>
                <w:szCs w:val="24"/>
                <w:lang w:eastAsia="lt-LT"/>
              </w:rPr>
              <w:t xml:space="preserve"> 1 ir 2 aukšto </w:t>
            </w:r>
            <w:proofErr w:type="spellStart"/>
            <w:r>
              <w:rPr>
                <w:szCs w:val="24"/>
                <w:lang w:eastAsia="lt-LT"/>
              </w:rPr>
              <w:t>foje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  <w:p w14:paraId="51BCCF8C" w14:textId="7266B9C2" w:rsidR="00EC4614" w:rsidRPr="004747FD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4.Atnaujinti didžiąją sporto salę.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4B4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Įrengta interaktyvi klasė 2a kabinete.</w:t>
            </w:r>
          </w:p>
          <w:p w14:paraId="123784D8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Gamtos mokslų laboratorija (fizika) įrengta ir naudojama tiriamiesiems darbams, chemijos-biologijos laboratorija įrenginėjama, nes negautos visos priemonės iš tiekėjų.</w:t>
            </w:r>
          </w:p>
          <w:p w14:paraId="7ED9E9E7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</w:t>
            </w:r>
            <w:r w:rsidR="006C12D0">
              <w:rPr>
                <w:szCs w:val="24"/>
                <w:lang w:eastAsia="lt-LT"/>
              </w:rPr>
              <w:t>2 aukšto rekreacinė erdvė įrengta aktyviam mokinių poilsiui, dėl „Kokybės krepšelio“ lėšų vėlavimo 1 aukšto rekreacinei zonai mokinių pasyviam poilsiui baldai užsakyti.</w:t>
            </w:r>
          </w:p>
          <w:p w14:paraId="51BCCF8D" w14:textId="5B794A41" w:rsidR="006C12D0" w:rsidRDefault="006C12D0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Didžioji sporto salė atnaujinta-atliktas sienų remontas.</w:t>
            </w:r>
          </w:p>
        </w:tc>
      </w:tr>
      <w:tr w:rsidR="00EC4614" w14:paraId="51BCCF93" w14:textId="77777777" w:rsidTr="0069701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8F" w14:textId="08EF32B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Telkti pedagogų bendruomenę </w:t>
            </w:r>
            <w:r>
              <w:rPr>
                <w:szCs w:val="24"/>
                <w:lang w:eastAsia="lt-LT"/>
              </w:rPr>
              <w:lastRenderedPageBreak/>
              <w:t>kolegialiam mokymuisi.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90" w14:textId="65A2EF33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Mokytojai įgis papildomas kompetencijas kaip siekti </w:t>
            </w:r>
            <w:r>
              <w:rPr>
                <w:szCs w:val="24"/>
                <w:lang w:eastAsia="lt-LT"/>
              </w:rPr>
              <w:lastRenderedPageBreak/>
              <w:t>geresnių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rezultatų.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91" w14:textId="36BF5A95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Sutelkus bendruomenę, išmokus lanksčiai taikyti mokymosi bendradarbiaujant metodus, mokinių mokymosi </w:t>
            </w:r>
            <w:r>
              <w:rPr>
                <w:szCs w:val="24"/>
                <w:lang w:eastAsia="lt-LT"/>
              </w:rPr>
              <w:lastRenderedPageBreak/>
              <w:t>socialumas pamokose bus sustiprintas. Poveikis mokinių pažangai – 52 proc. gerai ir labai gerai besimokančių mokinių.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92" w14:textId="6998EF9B" w:rsidR="00EC4614" w:rsidRDefault="006C12D0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Mokyklos bendruomenė telkiama. Metodinė taryba veda diskusijas, dalijamasi gerąja patirtimi. 2018-</w:t>
            </w:r>
            <w:r>
              <w:rPr>
                <w:szCs w:val="24"/>
                <w:lang w:eastAsia="lt-LT"/>
              </w:rPr>
              <w:lastRenderedPageBreak/>
              <w:t xml:space="preserve">2019 mokslo metais pakilo gerai ir labai gerai besimokančių mokinių iki </w:t>
            </w:r>
            <w:r w:rsidR="002F4AA4">
              <w:rPr>
                <w:szCs w:val="24"/>
                <w:lang w:eastAsia="lt-LT"/>
              </w:rPr>
              <w:t>55,3 proc.</w:t>
            </w:r>
          </w:p>
        </w:tc>
      </w:tr>
      <w:tr w:rsidR="00EC4614" w14:paraId="51BCCF98" w14:textId="77777777" w:rsidTr="00EC4614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94" w14:textId="3BB5773B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4.Įgyvendinti mokytojų etatinio darbo apmokėjimo naują modelį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63C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1.Mokytojų pareigybių aprašymai.</w:t>
            </w:r>
          </w:p>
          <w:p w14:paraId="6D9FCB60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2.Darbo tvarkos taisyklės.</w:t>
            </w:r>
          </w:p>
          <w:p w14:paraId="51BCCF95" w14:textId="264A08D4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3.Naujo etatinio apmokėjimo tvarkos įgyvendinimas laikantis mokytojų ir darbuotojų atstovų informavimo procedūrų.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6AD" w14:textId="77777777" w:rsidR="00EC461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Atnaujinti pareigybių aprašai iki 2019-09-01 dienos.</w:t>
            </w:r>
          </w:p>
          <w:p w14:paraId="51BCCF96" w14:textId="2B2CFC21" w:rsidR="002F4AA4" w:rsidRDefault="00EC4614" w:rsidP="00EC461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2.Nauja tvarka įgyvendinta supažindinus mokytojus. Suderinta su darbuotojų atstovais iki 2019-09-01 dienos.</w:t>
            </w:r>
          </w:p>
          <w:p w14:paraId="77D14A43" w14:textId="45403211" w:rsidR="00EC4614" w:rsidRPr="002F4AA4" w:rsidRDefault="00EC4614" w:rsidP="002F4AA4">
            <w:pPr>
              <w:rPr>
                <w:szCs w:val="24"/>
                <w:lang w:eastAsia="lt-LT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B30" w14:textId="77777777" w:rsidR="00EC461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1.Pareigybių aprašai atnaujinti iki 2019-09-01 dienos.</w:t>
            </w:r>
          </w:p>
          <w:p w14:paraId="715E28A0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2.Visi pedagoginiai darbuotojai supažindinti su nauja apmokėjimo tvarka, tvarka suderinta su darbo taryba.</w:t>
            </w:r>
          </w:p>
          <w:p w14:paraId="52D78529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14:paraId="311C6158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14:paraId="28CF3294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14:paraId="2FD427CA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14:paraId="790749EB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14:paraId="27ABBEE6" w14:textId="77777777" w:rsid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14:paraId="51BCCF97" w14:textId="052DE0DB" w:rsidR="002F4AA4" w:rsidRPr="002F4AA4" w:rsidRDefault="002F4AA4" w:rsidP="002F4AA4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51BCCF9E" w14:textId="4449809B" w:rsidR="00C54DA8" w:rsidRDefault="00C54DA8">
      <w:pPr>
        <w:overflowPunct w:val="0"/>
        <w:jc w:val="center"/>
        <w:textAlignment w:val="baseline"/>
        <w:rPr>
          <w:sz w:val="20"/>
          <w:lang w:eastAsia="lt-LT"/>
        </w:rPr>
      </w:pPr>
    </w:p>
    <w:p w14:paraId="51BCCF9F" w14:textId="77777777" w:rsidR="00C54DA8" w:rsidRDefault="003868F5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C54DA8" w14:paraId="51BCCFA2" w14:textId="77777777" w:rsidTr="001350C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A0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A1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C54DA8" w14:paraId="51BCCFA5" w14:textId="77777777" w:rsidTr="001350C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FA3" w14:textId="4F06F30B" w:rsidR="00C54DA8" w:rsidRDefault="003868F5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  <w:r w:rsidR="00202A4F">
              <w:rPr>
                <w:szCs w:val="24"/>
                <w:lang w:eastAsia="lt-LT"/>
              </w:rPr>
              <w:t xml:space="preserve"> Pavėluotai pradėta įsisavinti „Kokybės krepšelio“ lėšos.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A4" w14:textId="42A9CA50" w:rsidR="00C54DA8" w:rsidRDefault="00202A4F" w:rsidP="00202A4F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Trišalė sutartis tarp Nacionalinės Švietimo Agentūros, Vilkaviškio rajono savivaldybės ir progimnazijos suderinta ir pasirašyta 2019-12-02 dieną. „Kokybės krepšelio“ lėšos, kurios turėjo būti pradėtos įsisavinti 2019 </w:t>
            </w:r>
            <w:proofErr w:type="spellStart"/>
            <w:r>
              <w:rPr>
                <w:szCs w:val="24"/>
                <w:lang w:eastAsia="lt-LT"/>
              </w:rPr>
              <w:t>rugsėjio</w:t>
            </w:r>
            <w:proofErr w:type="spellEnd"/>
            <w:r>
              <w:rPr>
                <w:szCs w:val="24"/>
                <w:lang w:eastAsia="lt-LT"/>
              </w:rPr>
              <w:t xml:space="preserve"> mėnesį, progimnaziją pasiekė tik 2019 gruodžio 27 dieną.</w:t>
            </w:r>
          </w:p>
        </w:tc>
      </w:tr>
    </w:tbl>
    <w:p w14:paraId="51BCCFB2" w14:textId="77777777" w:rsidR="00C54DA8" w:rsidRDefault="00C54DA8">
      <w:pPr>
        <w:overflowPunct w:val="0"/>
        <w:textAlignment w:val="baseline"/>
        <w:rPr>
          <w:sz w:val="20"/>
        </w:rPr>
      </w:pPr>
    </w:p>
    <w:p w14:paraId="51BCCFB3" w14:textId="77777777" w:rsidR="00C54DA8" w:rsidRDefault="003868F5">
      <w:pPr>
        <w:tabs>
          <w:tab w:val="left" w:pos="284"/>
        </w:tabs>
        <w:overflowPunct w:val="0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Užduotys ar veiklos, kurios nebuvo planuotos ir nustatytos, bet įvykdytos</w:t>
      </w:r>
    </w:p>
    <w:p w14:paraId="51BCCFB4" w14:textId="193CD9F7" w:rsidR="00C54DA8" w:rsidRDefault="00C54DA8">
      <w:pPr>
        <w:tabs>
          <w:tab w:val="left" w:pos="284"/>
        </w:tabs>
        <w:overflowPunct w:val="0"/>
        <w:jc w:val="both"/>
        <w:textAlignment w:val="baseline"/>
        <w:rPr>
          <w:sz w:val="20"/>
          <w:lang w:eastAsia="lt-LT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C54DA8" w14:paraId="51BCCFB7" w14:textId="77777777" w:rsidTr="001350C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B5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B6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C54DA8" w14:paraId="51BCCFBA" w14:textId="77777777" w:rsidTr="001350C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FB8" w14:textId="2B73DBBF" w:rsidR="00C54DA8" w:rsidRDefault="003868F5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3.1.</w:t>
            </w:r>
            <w:r w:rsidR="001E36F2">
              <w:rPr>
                <w:szCs w:val="24"/>
                <w:lang w:eastAsia="lt-LT"/>
              </w:rPr>
              <w:t xml:space="preserve"> Atnaujinta kompiuterinė technika mokomuosiuose kabinetuose.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B9" w14:textId="55AD8C59" w:rsidR="00C54DA8" w:rsidRDefault="001E36F2" w:rsidP="00202A4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Atnaujinta kompiuterinė technika </w:t>
            </w:r>
            <w:r w:rsidR="00202A4F">
              <w:rPr>
                <w:szCs w:val="24"/>
                <w:lang w:eastAsia="lt-LT"/>
              </w:rPr>
              <w:t>informacinių technologijų kabinete (15 naujų darbo vietų mokiniams).</w:t>
            </w:r>
          </w:p>
        </w:tc>
      </w:tr>
      <w:tr w:rsidR="00C54DA8" w14:paraId="51BCCFBD" w14:textId="77777777" w:rsidTr="001350C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FBB" w14:textId="469DA9D4" w:rsidR="00C54DA8" w:rsidRDefault="003868F5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3.2.</w:t>
            </w:r>
            <w:r w:rsidR="00202A4F">
              <w:rPr>
                <w:szCs w:val="24"/>
                <w:lang w:eastAsia="lt-LT"/>
              </w:rPr>
              <w:t xml:space="preserve"> Įrengta dailės studija.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BC" w14:textId="673C6CC1" w:rsidR="00C54DA8" w:rsidRDefault="00202A4F" w:rsidP="00202A4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2019 rugsėjo mėnesį įrengta dailės studija </w:t>
            </w:r>
            <w:proofErr w:type="spellStart"/>
            <w:r>
              <w:rPr>
                <w:szCs w:val="24"/>
                <w:lang w:eastAsia="lt-LT"/>
              </w:rPr>
              <w:t>mokniams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</w:tr>
    </w:tbl>
    <w:p w14:paraId="51BCCFC7" w14:textId="77777777" w:rsidR="00C54DA8" w:rsidRDefault="00C54DA8">
      <w:pPr>
        <w:overflowPunct w:val="0"/>
        <w:textAlignment w:val="baseline"/>
        <w:rPr>
          <w:sz w:val="20"/>
        </w:rPr>
      </w:pPr>
    </w:p>
    <w:p w14:paraId="51BCCFC8" w14:textId="77777777" w:rsidR="00C54DA8" w:rsidRDefault="003868F5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127"/>
        <w:gridCol w:w="2722"/>
        <w:gridCol w:w="2268"/>
      </w:tblGrid>
      <w:tr w:rsidR="00C54DA8" w14:paraId="51BCCFCD" w14:textId="77777777" w:rsidTr="001350C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C9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CA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CB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CC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C54DA8" w14:paraId="51BCCFD2" w14:textId="77777777" w:rsidTr="001350C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FCE" w14:textId="4A197BD5" w:rsidR="00C54DA8" w:rsidRPr="00202A4F" w:rsidRDefault="00202A4F" w:rsidP="00202A4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1.Teikti paraišką Švietimo mainų paramos fondui paraišką dėl ERASMUS+ projekto „</w:t>
            </w:r>
            <w:proofErr w:type="spellStart"/>
            <w:r>
              <w:rPr>
                <w:szCs w:val="24"/>
                <w:lang w:eastAsia="lt-LT"/>
              </w:rPr>
              <w:t>Music</w:t>
            </w:r>
            <w:proofErr w:type="spellEnd"/>
            <w:r>
              <w:rPr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szCs w:val="24"/>
                <w:lang w:eastAsia="lt-LT"/>
              </w:rPr>
              <w:t>all</w:t>
            </w:r>
            <w:proofErr w:type="spellEnd"/>
            <w:r>
              <w:rPr>
                <w:szCs w:val="24"/>
                <w:lang w:eastAsia="lt-LT"/>
              </w:rPr>
              <w:t>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FCF" w14:textId="221589CA" w:rsidR="00C54DA8" w:rsidRDefault="00202A4F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Progimnazija dalyvaus tarptautiniame mokytojų ir mokinių mainų projekte „</w:t>
            </w:r>
            <w:proofErr w:type="spellStart"/>
            <w:r>
              <w:rPr>
                <w:szCs w:val="24"/>
                <w:lang w:eastAsia="lt-LT"/>
              </w:rPr>
              <w:t>Music</w:t>
            </w:r>
            <w:proofErr w:type="spellEnd"/>
            <w:r>
              <w:rPr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szCs w:val="24"/>
                <w:lang w:eastAsia="lt-LT"/>
              </w:rPr>
              <w:t>all</w:t>
            </w:r>
            <w:proofErr w:type="spellEnd"/>
            <w:r>
              <w:rPr>
                <w:szCs w:val="24"/>
                <w:lang w:eastAsia="lt-LT"/>
              </w:rPr>
              <w:t>“ kartu su 5 šalių atstovais.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D0" w14:textId="7DA34D97" w:rsidR="00C54DA8" w:rsidRDefault="00202A4F" w:rsidP="00E53481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Bus gautas finansavimas projektui, kurio metu mokytojai ir mokiniai galės gerinti komunikavimo kompetencijas</w:t>
            </w:r>
            <w:r w:rsidR="00764F11">
              <w:rPr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FD1" w14:textId="0530CC1C" w:rsidR="00C54DA8" w:rsidRDefault="00764F11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Gautas finansavimas projektui “</w:t>
            </w:r>
            <w:proofErr w:type="spellStart"/>
            <w:r>
              <w:rPr>
                <w:szCs w:val="24"/>
                <w:lang w:eastAsia="lt-LT"/>
              </w:rPr>
              <w:t>Music</w:t>
            </w:r>
            <w:proofErr w:type="spellEnd"/>
            <w:r>
              <w:rPr>
                <w:szCs w:val="24"/>
                <w:lang w:eastAsia="lt-LT"/>
              </w:rPr>
              <w:t xml:space="preserve"> to </w:t>
            </w:r>
            <w:proofErr w:type="spellStart"/>
            <w:r>
              <w:rPr>
                <w:szCs w:val="24"/>
                <w:lang w:eastAsia="lt-LT"/>
              </w:rPr>
              <w:t>all</w:t>
            </w:r>
            <w:proofErr w:type="spellEnd"/>
            <w:r>
              <w:rPr>
                <w:szCs w:val="24"/>
                <w:lang w:eastAsia="lt-LT"/>
              </w:rPr>
              <w:t xml:space="preserve">“. Pradėtas įgyvendinti projektas, įvykdytas pirmasis projekto etapas Ispanijoje (su darbo vizitu buvo </w:t>
            </w:r>
            <w:r>
              <w:rPr>
                <w:szCs w:val="24"/>
                <w:lang w:eastAsia="lt-LT"/>
              </w:rPr>
              <w:lastRenderedPageBreak/>
              <w:t>išvykę 3 mokytojai ). Projektas tęsiamas.</w:t>
            </w:r>
            <w:r w:rsidR="00F06AA5">
              <w:rPr>
                <w:szCs w:val="24"/>
                <w:lang w:eastAsia="lt-LT"/>
              </w:rPr>
              <w:t xml:space="preserve">    </w:t>
            </w:r>
          </w:p>
        </w:tc>
      </w:tr>
    </w:tbl>
    <w:p w14:paraId="51BCCFE7" w14:textId="77777777" w:rsidR="00C54DA8" w:rsidRDefault="00C54DA8">
      <w:pPr>
        <w:overflowPunct w:val="0"/>
        <w:jc w:val="center"/>
        <w:textAlignment w:val="baseline"/>
        <w:rPr>
          <w:sz w:val="20"/>
          <w:lang w:eastAsia="lt-LT"/>
        </w:rPr>
      </w:pPr>
    </w:p>
    <w:p w14:paraId="51BCCFE8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51BCCFE9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51BCCFEA" w14:textId="77777777" w:rsidR="00C54DA8" w:rsidRDefault="00C54DA8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p w14:paraId="51BCCFEB" w14:textId="77777777" w:rsidR="00C54DA8" w:rsidRDefault="003868F5">
      <w:pPr>
        <w:overflowPunct w:val="0"/>
        <w:ind w:left="360" w:hanging="36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5.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552"/>
      </w:tblGrid>
      <w:tr w:rsidR="00C54DA8" w14:paraId="51BCCFEE" w14:textId="77777777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EC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Užduočių įvykdymo aprašymas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ED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Pažymimas atitinkamas langelis</w:t>
            </w:r>
          </w:p>
        </w:tc>
      </w:tr>
      <w:tr w:rsidR="00C54DA8" w14:paraId="51BCCFF1" w14:textId="77777777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EF" w14:textId="77777777" w:rsidR="00C54DA8" w:rsidRDefault="003868F5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5.1. Užduotys įvykdytos ir viršijo kai kuriuos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0" w14:textId="26563184" w:rsidR="00C54DA8" w:rsidRDefault="003868F5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</w:p>
        </w:tc>
      </w:tr>
      <w:tr w:rsidR="00C54DA8" w14:paraId="51BCCFF4" w14:textId="77777777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2" w14:textId="77777777" w:rsidR="00C54DA8" w:rsidRDefault="003868F5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5.2. Užduotys iš esmės 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3" w14:textId="53B6504C" w:rsidR="00C54DA8" w:rsidRDefault="003868F5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</w:p>
        </w:tc>
      </w:tr>
      <w:tr w:rsidR="00C54DA8" w14:paraId="51BCCFF7" w14:textId="77777777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5" w14:textId="77777777" w:rsidR="00C54DA8" w:rsidRDefault="003868F5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5.3. Įvykdytos tik kai kurios užduotys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6" w14:textId="1433480E" w:rsidR="00C54DA8" w:rsidRDefault="003868F5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</w:p>
        </w:tc>
      </w:tr>
      <w:tr w:rsidR="00C54DA8" w14:paraId="51BCCFFA" w14:textId="77777777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8" w14:textId="77777777" w:rsidR="00C54DA8" w:rsidRDefault="003868F5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5.4. Užduotys neįvykdytos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FF9" w14:textId="0E600FC4" w:rsidR="00C54DA8" w:rsidRDefault="003868F5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</w:p>
        </w:tc>
      </w:tr>
    </w:tbl>
    <w:p w14:paraId="51BCCFFB" w14:textId="77777777" w:rsidR="00C54DA8" w:rsidRDefault="00C54DA8">
      <w:pPr>
        <w:overflowPunct w:val="0"/>
        <w:jc w:val="center"/>
        <w:textAlignment w:val="baseline"/>
        <w:rPr>
          <w:sz w:val="20"/>
          <w:lang w:eastAsia="lt-LT"/>
        </w:rPr>
      </w:pPr>
    </w:p>
    <w:p w14:paraId="51BCCFFC" w14:textId="77777777" w:rsidR="00C54DA8" w:rsidRDefault="003868F5">
      <w:pPr>
        <w:tabs>
          <w:tab w:val="left" w:pos="284"/>
        </w:tabs>
        <w:overflowPunct w:val="0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54DA8" w14:paraId="51BCCFFE" w14:textId="77777777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FFD" w14:textId="31FB4AC9" w:rsidR="00C54DA8" w:rsidRDefault="003868F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</w:t>
            </w:r>
            <w:r w:rsidR="00E53481">
              <w:rPr>
                <w:szCs w:val="24"/>
                <w:lang w:eastAsia="lt-LT"/>
              </w:rPr>
              <w:t>Duomenimis grįsta vadyba.</w:t>
            </w:r>
          </w:p>
        </w:tc>
      </w:tr>
      <w:tr w:rsidR="00C54DA8" w14:paraId="51BCD000" w14:textId="77777777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FFF" w14:textId="516F0555" w:rsidR="00C54DA8" w:rsidRDefault="003868F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6.2.</w:t>
            </w:r>
            <w:r w:rsidR="00E53481">
              <w:rPr>
                <w:szCs w:val="24"/>
                <w:lang w:eastAsia="lt-LT"/>
              </w:rPr>
              <w:t>Bendruomenės telkimas tikslams pasiekti ir lyderystės skatinimas.</w:t>
            </w:r>
          </w:p>
        </w:tc>
      </w:tr>
    </w:tbl>
    <w:p w14:paraId="51BCD001" w14:textId="77777777" w:rsidR="00C54DA8" w:rsidRDefault="00C54DA8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p w14:paraId="51BCD002" w14:textId="139F3A4E" w:rsidR="00C54DA8" w:rsidRDefault="00E53481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     Direktorius                                                                            A</w:t>
      </w:r>
      <w:r w:rsidR="001350CE">
        <w:rPr>
          <w:szCs w:val="24"/>
          <w:lang w:eastAsia="lt-LT"/>
        </w:rPr>
        <w:t>rvydas Judickas             2020</w:t>
      </w:r>
      <w:r w:rsidR="0094314F">
        <w:rPr>
          <w:szCs w:val="24"/>
          <w:lang w:eastAsia="lt-LT"/>
        </w:rPr>
        <w:t>-01-14</w:t>
      </w:r>
    </w:p>
    <w:p w14:paraId="51BCD003" w14:textId="77777777" w:rsidR="00C54DA8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14:paraId="51BCD004" w14:textId="77777777" w:rsidR="00C54DA8" w:rsidRDefault="00C54DA8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p w14:paraId="51BCD005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51BCD006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51BCD007" w14:textId="77777777" w:rsidR="00C54DA8" w:rsidRDefault="00C54DA8">
      <w:pPr>
        <w:overflowPunct w:val="0"/>
        <w:jc w:val="center"/>
        <w:textAlignment w:val="baseline"/>
        <w:rPr>
          <w:sz w:val="20"/>
          <w:lang w:eastAsia="lt-LT"/>
        </w:rPr>
      </w:pPr>
    </w:p>
    <w:p w14:paraId="51BCD00B" w14:textId="135F6733" w:rsidR="00C54DA8" w:rsidRDefault="003868F5" w:rsidP="00E53481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b/>
          <w:szCs w:val="24"/>
          <w:lang w:eastAsia="lt-LT"/>
        </w:rPr>
        <w:t>7. Įvertinimas, jo pagrindimas ir siūlymai:</w:t>
      </w:r>
      <w:r>
        <w:rPr>
          <w:szCs w:val="24"/>
          <w:lang w:eastAsia="lt-LT"/>
        </w:rPr>
        <w:t xml:space="preserve"> </w:t>
      </w:r>
    </w:p>
    <w:p w14:paraId="2A8A8B84" w14:textId="77777777" w:rsidR="00DA5DC7" w:rsidRDefault="00DA5DC7" w:rsidP="00E53481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51BCD00C" w14:textId="0F7E9DD8" w:rsidR="00C54DA8" w:rsidRDefault="00E53481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Progimnazijos Tarybos pirmininkas                                          Da</w:t>
      </w:r>
      <w:r w:rsidR="00DA5DC7">
        <w:rPr>
          <w:szCs w:val="24"/>
          <w:lang w:eastAsia="lt-LT"/>
        </w:rPr>
        <w:t>rius Vaitkevičius           2020</w:t>
      </w:r>
      <w:r w:rsidR="00FD0AC4">
        <w:rPr>
          <w:szCs w:val="24"/>
          <w:lang w:eastAsia="lt-LT"/>
        </w:rPr>
        <w:t>-01-30</w:t>
      </w:r>
    </w:p>
    <w:p w14:paraId="51BCD00D" w14:textId="6BC90255" w:rsidR="00C54DA8" w:rsidRDefault="00E53481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 </w:t>
      </w:r>
      <w:r w:rsidR="003868F5">
        <w:rPr>
          <w:sz w:val="20"/>
          <w:lang w:eastAsia="lt-LT"/>
        </w:rPr>
        <w:t>(</w:t>
      </w:r>
      <w:r w:rsidR="003868F5">
        <w:rPr>
          <w:color w:val="000000"/>
          <w:sz w:val="20"/>
          <w:lang w:eastAsia="lt-LT"/>
        </w:rPr>
        <w:t xml:space="preserve">mokykloje – mokyklos tarybos                </w:t>
      </w:r>
      <w:r w:rsidR="003868F5">
        <w:rPr>
          <w:sz w:val="20"/>
          <w:lang w:eastAsia="lt-LT"/>
        </w:rPr>
        <w:t xml:space="preserve">        </w:t>
      </w:r>
      <w:r w:rsidR="00920F3A">
        <w:rPr>
          <w:sz w:val="20"/>
          <w:lang w:eastAsia="lt-LT"/>
        </w:rPr>
        <w:t xml:space="preserve">    </w:t>
      </w:r>
      <w:r w:rsidR="003868F5">
        <w:rPr>
          <w:sz w:val="20"/>
          <w:lang w:eastAsia="lt-LT"/>
        </w:rPr>
        <w:t xml:space="preserve">   (parašas)                               (vardas ir pavardė)                      (data)</w:t>
      </w:r>
    </w:p>
    <w:p w14:paraId="51BCD00E" w14:textId="77777777" w:rsidR="00C54DA8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įgaliotas asmuo, švietimo pagalbos įstaigoje – </w:t>
      </w:r>
    </w:p>
    <w:p w14:paraId="51BCD00F" w14:textId="77777777" w:rsidR="00C54DA8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savivaldos institucijos įgaliotas asmuo </w:t>
      </w:r>
    </w:p>
    <w:p w14:paraId="51BCD010" w14:textId="77777777" w:rsidR="00C54DA8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>/ darbuotojų atstovavimą įgyvendinantis asmuo)</w:t>
      </w:r>
    </w:p>
    <w:p w14:paraId="51BCD011" w14:textId="77777777" w:rsidR="00C54DA8" w:rsidRDefault="00C54DA8">
      <w:pPr>
        <w:tabs>
          <w:tab w:val="left" w:pos="5529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51BCD012" w14:textId="77777777" w:rsidR="00C54DA8" w:rsidRDefault="003868F5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b/>
          <w:szCs w:val="24"/>
          <w:lang w:eastAsia="lt-LT"/>
        </w:rPr>
        <w:t>8.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1BCD013" w14:textId="77777777" w:rsidR="00C54DA8" w:rsidRDefault="003868F5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1BCD014" w14:textId="77777777" w:rsidR="00C54DA8" w:rsidRDefault="003868F5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1BCD015" w14:textId="77777777" w:rsidR="00C54DA8" w:rsidRDefault="00C54DA8">
      <w:pPr>
        <w:tabs>
          <w:tab w:val="right" w:leader="underscore" w:pos="9071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51BCD016" w14:textId="55948CE8" w:rsidR="00C54DA8" w:rsidRDefault="003868F5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  __________            _________________         __________</w:t>
      </w:r>
    </w:p>
    <w:p w14:paraId="51BCD017" w14:textId="482FC5FE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švietimo įstaigos savininko teises ir </w:t>
      </w:r>
      <w:r>
        <w:rPr>
          <w:sz w:val="20"/>
          <w:lang w:eastAsia="lt-LT"/>
        </w:rPr>
        <w:t xml:space="preserve">                    (parašas)                        (vardas ir pavardė)                    (data)</w:t>
      </w:r>
    </w:p>
    <w:p w14:paraId="51BCD018" w14:textId="77777777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pareigas įgyvendinančios institucijos </w:t>
      </w:r>
    </w:p>
    <w:p w14:paraId="51BCD019" w14:textId="77777777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>(dalininkų susirinkimo) įgalioto asmens</w:t>
      </w:r>
    </w:p>
    <w:p w14:paraId="51BCD01A" w14:textId="77777777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pareigos)</w:t>
      </w:r>
    </w:p>
    <w:p w14:paraId="51BCD01B" w14:textId="77777777" w:rsidR="00C54DA8" w:rsidRDefault="00C54DA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51BCD01C" w14:textId="77777777" w:rsidR="00C54DA8" w:rsidRDefault="003868F5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 ______________________.</w:t>
      </w:r>
    </w:p>
    <w:p w14:paraId="51BCD01D" w14:textId="77777777" w:rsidR="00C54DA8" w:rsidRDefault="00C54DA8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11C02FF2" w14:textId="77777777" w:rsidR="00DA5DC7" w:rsidRDefault="00DA5DC7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14FC200C" w14:textId="77777777" w:rsidR="00DA5DC7" w:rsidRDefault="00DA5DC7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4E06CEC4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76371ABA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3B09567E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7048029A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1598BE31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1FC5152D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66CA1BBD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72970AEF" w14:textId="77777777" w:rsidR="00B5520E" w:rsidRDefault="00B5520E">
      <w:pPr>
        <w:overflowPunct w:val="0"/>
        <w:jc w:val="center"/>
        <w:textAlignment w:val="baseline"/>
        <w:rPr>
          <w:b/>
          <w:szCs w:val="24"/>
          <w:lang w:eastAsia="lt-LT"/>
        </w:rPr>
      </w:pPr>
      <w:bookmarkStart w:id="0" w:name="_GoBack"/>
      <w:bookmarkEnd w:id="0"/>
    </w:p>
    <w:p w14:paraId="27662AA0" w14:textId="77777777" w:rsidR="00DA5DC7" w:rsidRDefault="00DA5DC7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51BCD01E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51BCD01F" w14:textId="77777777" w:rsidR="00C54DA8" w:rsidRDefault="003868F5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UŽDUOTYS, REZULTATAI IR RODIKLIAI</w:t>
      </w:r>
    </w:p>
    <w:p w14:paraId="51BCD020" w14:textId="77777777" w:rsidR="00C54DA8" w:rsidRDefault="00C54DA8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color w:val="000000"/>
          <w:szCs w:val="24"/>
        </w:rPr>
      </w:pPr>
    </w:p>
    <w:p w14:paraId="51BCD022" w14:textId="7FB3DA93" w:rsidR="00C54DA8" w:rsidRPr="00920F3A" w:rsidRDefault="003868F5" w:rsidP="00920F3A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Kitų metų užduotys</w:t>
      </w:r>
      <w:r w:rsidR="00121414">
        <w:rPr>
          <w:b/>
          <w:szCs w:val="24"/>
          <w:lang w:eastAsia="lt-LT"/>
        </w:rPr>
        <w:t xml:space="preserve"> (2020 m.)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C54DA8" w14:paraId="51BCD026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D023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D024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D025" w14:textId="77777777" w:rsidR="00C54DA8" w:rsidRDefault="003868F5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C54DA8" w14:paraId="51BCD02A" w14:textId="77777777" w:rsidTr="001A69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027" w14:textId="6C5A72C4" w:rsidR="00C54DA8" w:rsidRDefault="00DA2BB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kokybės gerinimas įsisavinant “Kokybės krepšelio“ lėšas.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3C1" w14:textId="6260835E" w:rsidR="00CF1247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1.Įgyvendintas progimnazijos veiklos tobulinimo planas 2019-2020 mokslo metams.</w:t>
            </w:r>
          </w:p>
          <w:p w14:paraId="51BCD028" w14:textId="32DBBC94" w:rsidR="00DA2BBB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Atsiskaityta su Nacionaline Švietimo agentūra už tinkamą lėšų panaudojimą.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32F" w14:textId="77777777" w:rsidR="00CF1247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Įsisavintos skirtos „Kokybės krepšelio“ lėšos 2019-2020 mokslo metams.</w:t>
            </w:r>
          </w:p>
          <w:p w14:paraId="1EFDCDBF" w14:textId="77777777" w:rsidR="00DA2BBB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Laiku pateikta ataskaita Nacionalinei Švietimo Agentūrai.</w:t>
            </w:r>
          </w:p>
          <w:p w14:paraId="51BCD029" w14:textId="7B7C5875" w:rsidR="00DA2BBB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Pakoreguotas ir papildytas progimnazijos tobulinimo veiklos planas 2020-2021 mokslo metams.</w:t>
            </w:r>
          </w:p>
        </w:tc>
      </w:tr>
      <w:tr w:rsidR="00C54DA8" w14:paraId="51BCD02E" w14:textId="77777777" w:rsidTr="001A69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02B" w14:textId="21246CB6" w:rsidR="00C54DA8" w:rsidRDefault="00DA2BB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Gerosios patirties sklaidos organizavimas progimnazijoje ir už jos ribų</w:t>
            </w:r>
            <w:r w:rsidR="006A69E3">
              <w:rPr>
                <w:szCs w:val="24"/>
                <w:lang w:eastAsia="lt-LT"/>
              </w:rPr>
              <w:t>, telkti bendruomenę kolegialiam mokymuisi.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B2F" w14:textId="77777777" w:rsidR="00C54DA8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1.Gerosios patirties sklaida progimnazijoje.</w:t>
            </w:r>
          </w:p>
          <w:p w14:paraId="4F46BD31" w14:textId="38935B45" w:rsidR="00E44AC3" w:rsidRDefault="00E44AC3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2.Telkiama bendruomenė kolegialiam mokymuisi.</w:t>
            </w:r>
          </w:p>
          <w:p w14:paraId="51BCD02C" w14:textId="40530A82" w:rsidR="00DA2BBB" w:rsidRDefault="00E44AC3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DA2BBB">
              <w:rPr>
                <w:szCs w:val="24"/>
                <w:lang w:eastAsia="lt-LT"/>
              </w:rPr>
              <w:t>.Gerosios patirties sklaida rajone ir respublikoje.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B51" w14:textId="0146C3C6" w:rsidR="00E44AC3" w:rsidRDefault="00DA2BBB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  <w:r w:rsidR="00E44AC3">
              <w:rPr>
                <w:szCs w:val="24"/>
                <w:lang w:eastAsia="lt-LT"/>
              </w:rPr>
              <w:t>Dalyvauti kvalifikacijos tobulinimo mokymuose ne mažiau kaip 5 dienas. Dalyvaus 80 proc. mokytojų.</w:t>
            </w:r>
          </w:p>
          <w:p w14:paraId="6FA8F299" w14:textId="504F7F95" w:rsidR="00DA2BBB" w:rsidRDefault="00D03F3C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DA2BBB">
              <w:rPr>
                <w:szCs w:val="24"/>
                <w:lang w:eastAsia="lt-LT"/>
              </w:rPr>
              <w:t>Oraganizuoti du seminarai rajono mokytojams</w:t>
            </w:r>
            <w:r w:rsidR="00E44AC3">
              <w:rPr>
                <w:szCs w:val="24"/>
                <w:lang w:eastAsia="lt-LT"/>
              </w:rPr>
              <w:t>.</w:t>
            </w:r>
            <w:r w:rsidR="00165286">
              <w:rPr>
                <w:szCs w:val="24"/>
                <w:lang w:eastAsia="lt-LT"/>
              </w:rPr>
              <w:t xml:space="preserve"> 60 proc. mokytojų taikys naujoves pamokose.</w:t>
            </w:r>
          </w:p>
          <w:p w14:paraId="51BCD02D" w14:textId="572D31BF" w:rsidR="00E44AC3" w:rsidRDefault="00D03F3C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E44AC3">
              <w:rPr>
                <w:szCs w:val="24"/>
                <w:lang w:eastAsia="lt-LT"/>
              </w:rPr>
              <w:t>Dalintis patirtimi su Klaipėdos Simono Dacho progimnazija.</w:t>
            </w:r>
          </w:p>
        </w:tc>
      </w:tr>
      <w:tr w:rsidR="00C54DA8" w14:paraId="51BCD032" w14:textId="77777777" w:rsidTr="001A69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02F" w14:textId="5A21020F" w:rsidR="00C54DA8" w:rsidRDefault="00E44AC3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3.Turtinti ir atnaujinti progimnazijos materialinę bazę, modernizuoti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procesą.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C02" w14:textId="77777777" w:rsidR="00C54DA8" w:rsidRDefault="00E44AC3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1.Modernizuoti pradinių klasių ir gamtos mokslų kabinetus.</w:t>
            </w:r>
          </w:p>
          <w:p w14:paraId="0DA6254B" w14:textId="77777777" w:rsidR="00E44AC3" w:rsidRDefault="00E44AC3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2.Aprūpinti muzikos kabinetą reikiamomis priemonėmis.</w:t>
            </w:r>
          </w:p>
          <w:p w14:paraId="39F16325" w14:textId="77777777" w:rsidR="00E44AC3" w:rsidRDefault="00E44AC3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3.Atnaujinti sporto salių apšvietimo sistemą.</w:t>
            </w:r>
          </w:p>
          <w:p w14:paraId="51BCD030" w14:textId="47733D40" w:rsidR="00E44AC3" w:rsidRDefault="00E44AC3" w:rsidP="00CF124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4.Įrengti rekreacines erdves mokinių pasyviam ir aktyviam poilsiui.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D88" w14:textId="77777777" w:rsidR="00C54DA8" w:rsidRDefault="00E44AC3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1.Įrengti 4 interaktyvias klases.</w:t>
            </w:r>
          </w:p>
          <w:p w14:paraId="4F96EB8A" w14:textId="77777777" w:rsidR="00E44AC3" w:rsidRDefault="00E44AC3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2.Muzikos kabinete atnaujinti klausymosi aparatūrą.</w:t>
            </w:r>
          </w:p>
          <w:p w14:paraId="0261A012" w14:textId="77777777" w:rsidR="00E44AC3" w:rsidRDefault="00E44AC3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Sutvarkyti sporto salių apšvietimo sistemas.</w:t>
            </w:r>
          </w:p>
          <w:p w14:paraId="0D5ABB44" w14:textId="77777777" w:rsidR="00E44AC3" w:rsidRDefault="00E44AC3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Turtinti 2 aukšto rekreacines zonas, įrengti 1 ir 3 aukštų rekreacines zonas mokinių poilsiui.</w:t>
            </w:r>
          </w:p>
          <w:p w14:paraId="51BCD031" w14:textId="7BF0C00D" w:rsidR="00165286" w:rsidRDefault="00165286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8 mokytojams atnaujintos darbo vietos.</w:t>
            </w:r>
          </w:p>
        </w:tc>
      </w:tr>
      <w:tr w:rsidR="00C54DA8" w14:paraId="51BCD036" w14:textId="77777777" w:rsidTr="001A69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033" w14:textId="2D138B3A" w:rsidR="00C54DA8" w:rsidRDefault="00E44AC3" w:rsidP="00D03F3C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D03F3C">
              <w:rPr>
                <w:szCs w:val="24"/>
                <w:lang w:eastAsia="lt-LT"/>
              </w:rPr>
              <w:t xml:space="preserve"> Tobulinti pamokos kokybę, skiriant didesnį dėmesį asmeninei mokinio </w:t>
            </w:r>
            <w:proofErr w:type="spellStart"/>
            <w:r w:rsidR="00D03F3C">
              <w:rPr>
                <w:szCs w:val="24"/>
                <w:lang w:eastAsia="lt-LT"/>
              </w:rPr>
              <w:t>ūgčiai</w:t>
            </w:r>
            <w:proofErr w:type="spellEnd"/>
            <w:r w:rsidR="00D03F3C">
              <w:rPr>
                <w:szCs w:val="24"/>
                <w:lang w:eastAsia="lt-LT"/>
              </w:rPr>
              <w:t xml:space="preserve"> ir mokinių aukštesniųjų gebėjimų ugdymui.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B63" w14:textId="77777777" w:rsidR="00920F3A" w:rsidRDefault="00D03F3C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1.Gerinti pamokos vadybą, užtikrinant mokymosi įvairovę, plėtojant </w:t>
            </w:r>
            <w:proofErr w:type="spellStart"/>
            <w:r>
              <w:rPr>
                <w:szCs w:val="24"/>
                <w:lang w:eastAsia="lt-LT"/>
              </w:rPr>
              <w:t>savivaldaus</w:t>
            </w:r>
            <w:proofErr w:type="spellEnd"/>
            <w:r>
              <w:rPr>
                <w:szCs w:val="24"/>
                <w:lang w:eastAsia="lt-LT"/>
              </w:rPr>
              <w:t xml:space="preserve"> mokymosi galimybes.</w:t>
            </w:r>
          </w:p>
          <w:p w14:paraId="51BCD034" w14:textId="592EC497" w:rsidR="00D03F3C" w:rsidRDefault="00D03F3C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Atpažinti ir ugdyti gabius mokinius per įvairias ugdomąsias veiklas.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3DC" w14:textId="6AEE3AB7" w:rsidR="00920F3A" w:rsidRDefault="00D03F3C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Kartą į mėnesį organizuojamos apskritojo stalo diskusijos mokinių pažangos, mokytojų patirties sklaidos </w:t>
            </w:r>
            <w:proofErr w:type="spellStart"/>
            <w:r>
              <w:rPr>
                <w:szCs w:val="24"/>
                <w:lang w:eastAsia="lt-LT"/>
              </w:rPr>
              <w:t>inovatyvių</w:t>
            </w:r>
            <w:proofErr w:type="spellEnd"/>
            <w:r>
              <w:rPr>
                <w:szCs w:val="24"/>
                <w:lang w:eastAsia="lt-LT"/>
              </w:rPr>
              <w:t xml:space="preserve"> ugdymo metodų klausimais. Vykdyti projektą „kolega kolegai“.</w:t>
            </w:r>
            <w:r w:rsidR="00165286">
              <w:rPr>
                <w:szCs w:val="24"/>
                <w:lang w:eastAsia="lt-LT"/>
              </w:rPr>
              <w:t xml:space="preserve"> Poveikis- 7</w:t>
            </w:r>
            <w:r>
              <w:rPr>
                <w:szCs w:val="24"/>
                <w:lang w:eastAsia="lt-LT"/>
              </w:rPr>
              <w:t>0 proc. mokytojų</w:t>
            </w:r>
            <w:r w:rsidR="00165286">
              <w:rPr>
                <w:szCs w:val="24"/>
                <w:lang w:eastAsia="lt-LT"/>
              </w:rPr>
              <w:t xml:space="preserve"> tikslingai naudos skaitmeninius įrankius.</w:t>
            </w:r>
          </w:p>
          <w:p w14:paraId="439399F8" w14:textId="15698D34" w:rsidR="00D03F3C" w:rsidRDefault="00D03F3C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Mokiniams įvesti papildomas konsultacines dalykų valandas siekiant </w:t>
            </w:r>
            <w:r>
              <w:rPr>
                <w:szCs w:val="24"/>
                <w:lang w:eastAsia="lt-LT"/>
              </w:rPr>
              <w:lastRenderedPageBreak/>
              <w:t>geresnių rezultatų, ruošiant gabi</w:t>
            </w:r>
            <w:r w:rsidR="00165286">
              <w:rPr>
                <w:szCs w:val="24"/>
                <w:lang w:eastAsia="lt-LT"/>
              </w:rPr>
              <w:t>us mokinius tolesniam mokymuisi, įsteigta dienos mokykla 5-8 klasių mokiniams iš socialios rizikos šeimų.</w:t>
            </w:r>
          </w:p>
          <w:p w14:paraId="51BCD035" w14:textId="445557B5" w:rsidR="00D03F3C" w:rsidRDefault="00D03F3C" w:rsidP="00920F3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3.Sustiprintas mokinių mokymosi socialumas pamokose. Poveikis – 54 proc. gerai ir labai gerai besimokančių mokinių. </w:t>
            </w:r>
          </w:p>
        </w:tc>
      </w:tr>
    </w:tbl>
    <w:p w14:paraId="51BCD03B" w14:textId="10869C75" w:rsidR="00C54DA8" w:rsidRDefault="00C54DA8">
      <w:pPr>
        <w:overflowPunct w:val="0"/>
        <w:textAlignment w:val="baseline"/>
        <w:rPr>
          <w:szCs w:val="24"/>
        </w:rPr>
      </w:pPr>
    </w:p>
    <w:p w14:paraId="51BCD03C" w14:textId="77777777" w:rsidR="00C54DA8" w:rsidRDefault="003868F5">
      <w:pPr>
        <w:tabs>
          <w:tab w:val="left" w:pos="426"/>
        </w:tabs>
        <w:overflowPunct w:val="0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10.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51BCD03D" w14:textId="77777777" w:rsidR="00C54DA8" w:rsidRDefault="003868F5">
      <w:pPr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54DA8" w14:paraId="51BCD03F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D03E" w14:textId="5F22C444" w:rsidR="00C54DA8" w:rsidRDefault="003868F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10.1.</w:t>
            </w:r>
            <w:r w:rsidR="00920F3A">
              <w:rPr>
                <w:szCs w:val="24"/>
                <w:lang w:eastAsia="lt-LT"/>
              </w:rPr>
              <w:t xml:space="preserve"> Steigėjo išteklių trūkumas. </w:t>
            </w:r>
          </w:p>
        </w:tc>
      </w:tr>
      <w:tr w:rsidR="00C54DA8" w14:paraId="51BCD041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D040" w14:textId="4934A6C5" w:rsidR="00C54DA8" w:rsidRDefault="003868F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10.2.</w:t>
            </w:r>
            <w:r w:rsidR="00920F3A">
              <w:rPr>
                <w:szCs w:val="24"/>
                <w:lang w:eastAsia="lt-LT"/>
              </w:rPr>
              <w:t xml:space="preserve"> Žmogiškųjų išteklių trūkumas.</w:t>
            </w:r>
          </w:p>
        </w:tc>
      </w:tr>
      <w:tr w:rsidR="00C54DA8" w14:paraId="51BCD043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D042" w14:textId="38D36670" w:rsidR="00C54DA8" w:rsidRDefault="003868F5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10.3.</w:t>
            </w:r>
            <w:r w:rsidR="00920F3A">
              <w:rPr>
                <w:szCs w:val="24"/>
                <w:lang w:eastAsia="lt-LT"/>
              </w:rPr>
              <w:t xml:space="preserve"> Nepakankamas finansavimas.</w:t>
            </w:r>
          </w:p>
        </w:tc>
      </w:tr>
    </w:tbl>
    <w:p w14:paraId="51BCD044" w14:textId="77777777" w:rsidR="00C54DA8" w:rsidRDefault="00C54DA8">
      <w:pPr>
        <w:overflowPunct w:val="0"/>
        <w:jc w:val="center"/>
        <w:textAlignment w:val="baseline"/>
        <w:rPr>
          <w:szCs w:val="24"/>
          <w:lang w:eastAsia="lt-LT"/>
        </w:rPr>
      </w:pPr>
    </w:p>
    <w:p w14:paraId="51BCD045" w14:textId="77777777" w:rsidR="00C54DA8" w:rsidRDefault="00C54DA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51BCD046" w14:textId="1A1007BC" w:rsidR="00C54DA8" w:rsidRDefault="003868F5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  __________           _________________         __________</w:t>
      </w:r>
    </w:p>
    <w:p w14:paraId="51BCD047" w14:textId="1BF425D4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švietimo įstaigos savininko teises ir </w:t>
      </w:r>
      <w:r>
        <w:rPr>
          <w:sz w:val="20"/>
          <w:lang w:eastAsia="lt-LT"/>
        </w:rPr>
        <w:t xml:space="preserve">                    (parašas)                            (vardas ir pavardė)                    (data)</w:t>
      </w:r>
    </w:p>
    <w:p w14:paraId="51BCD048" w14:textId="77777777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pareigas įgyvendinančios institucijos </w:t>
      </w:r>
    </w:p>
    <w:p w14:paraId="51BCD049" w14:textId="77777777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>(dalininkų susirinkimo) įgalioto asmens</w:t>
      </w:r>
    </w:p>
    <w:p w14:paraId="51BCD04A" w14:textId="77777777" w:rsidR="00C54DA8" w:rsidRDefault="003868F5">
      <w:pPr>
        <w:tabs>
          <w:tab w:val="left" w:pos="1276"/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pareigos)</w:t>
      </w:r>
    </w:p>
    <w:p w14:paraId="51BCD04B" w14:textId="77777777" w:rsidR="00C54DA8" w:rsidRDefault="00C54DA8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51BCD04C" w14:textId="77777777" w:rsidR="00C54DA8" w:rsidRDefault="003868F5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14:paraId="51BCD04D" w14:textId="285ABC87" w:rsidR="00C54DA8" w:rsidRDefault="00920F3A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  Direktorius                     </w:t>
      </w:r>
      <w:r w:rsidR="003868F5">
        <w:rPr>
          <w:szCs w:val="24"/>
          <w:lang w:eastAsia="lt-LT"/>
        </w:rPr>
        <w:t xml:space="preserve">                 __________                 </w:t>
      </w:r>
      <w:r>
        <w:rPr>
          <w:szCs w:val="24"/>
          <w:lang w:eastAsia="lt-LT"/>
        </w:rPr>
        <w:t xml:space="preserve">    Arvydas Judickas</w:t>
      </w:r>
      <w:r w:rsidR="003868F5">
        <w:rPr>
          <w:szCs w:val="24"/>
          <w:lang w:eastAsia="lt-LT"/>
        </w:rPr>
        <w:t xml:space="preserve">        __________</w:t>
      </w:r>
    </w:p>
    <w:p w14:paraId="51BCD04E" w14:textId="77777777" w:rsidR="00C54DA8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14:paraId="51BCD04F" w14:textId="77777777" w:rsidR="00C54DA8" w:rsidRDefault="00C54DA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 w:val="20"/>
        </w:rPr>
      </w:pPr>
    </w:p>
    <w:p w14:paraId="51BCD050" w14:textId="77777777" w:rsidR="00C54DA8" w:rsidRDefault="00C54DA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51BCD051" w14:textId="07DE952E" w:rsidR="00C54DA8" w:rsidRDefault="00C35C05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</w:p>
    <w:p w14:paraId="51BCD052" w14:textId="77777777" w:rsidR="00C54DA8" w:rsidRDefault="00C54DA8">
      <w:pPr>
        <w:overflowPunct w:val="0"/>
        <w:ind w:left="-6" w:firstLine="573"/>
        <w:jc w:val="center"/>
        <w:textAlignment w:val="baseline"/>
        <w:rPr>
          <w:szCs w:val="24"/>
        </w:rPr>
      </w:pPr>
    </w:p>
    <w:sectPr w:rsidR="00C54D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562" w:bottom="1238" w:left="1699" w:header="288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C0929" w14:textId="77777777" w:rsidR="001E3D1E" w:rsidRDefault="001E3D1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2E2CBFB4" w14:textId="77777777" w:rsidR="001E3D1E" w:rsidRDefault="001E3D1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D05C" w14:textId="77777777" w:rsidR="00C54DA8" w:rsidRDefault="003868F5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51BCD05D" w14:textId="77777777" w:rsidR="00C54DA8" w:rsidRDefault="00C54DA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D05E" w14:textId="77777777" w:rsidR="00C54DA8" w:rsidRDefault="00C54DA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D060" w14:textId="77777777" w:rsidR="00C54DA8" w:rsidRDefault="00C54DA8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5BED3" w14:textId="77777777" w:rsidR="001E3D1E" w:rsidRDefault="001E3D1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1A76D3C2" w14:textId="77777777" w:rsidR="001E3D1E" w:rsidRDefault="001E3D1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D059" w14:textId="77777777" w:rsidR="00C54DA8" w:rsidRDefault="00C54DA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D05A" w14:textId="77777777" w:rsidR="00C54DA8" w:rsidRDefault="003868F5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 w:rsidR="00B5520E" w:rsidRPr="00B5520E">
      <w:rPr>
        <w:rFonts w:ascii="HelveticaLT" w:hAnsi="HelveticaLT"/>
        <w:noProof/>
        <w:sz w:val="20"/>
      </w:rPr>
      <w:t>6</w:t>
    </w:r>
    <w:r>
      <w:rPr>
        <w:rFonts w:ascii="HelveticaLT" w:hAnsi="HelveticaLT"/>
        <w:sz w:val="20"/>
        <w:lang w:val="en-GB"/>
      </w:rPr>
      <w:fldChar w:fldCharType="end"/>
    </w:r>
  </w:p>
  <w:p w14:paraId="51BCD05B" w14:textId="77777777" w:rsidR="00C54DA8" w:rsidRDefault="00C54DA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02808" w14:textId="242D6AB7" w:rsidR="003868F5" w:rsidRDefault="003868F5">
    <w:pPr>
      <w:pStyle w:val="Antrats"/>
      <w:jc w:val="center"/>
    </w:pPr>
  </w:p>
  <w:p w14:paraId="51BCD05F" w14:textId="77777777" w:rsidR="00C54DA8" w:rsidRDefault="00C54DA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74CD6"/>
    <w:multiLevelType w:val="hybridMultilevel"/>
    <w:tmpl w:val="D59EA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E3636"/>
    <w:multiLevelType w:val="hybridMultilevel"/>
    <w:tmpl w:val="206E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3FD3"/>
    <w:multiLevelType w:val="hybridMultilevel"/>
    <w:tmpl w:val="C5EA5B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63"/>
    <w:rsid w:val="00056361"/>
    <w:rsid w:val="000E0576"/>
    <w:rsid w:val="00121414"/>
    <w:rsid w:val="001350CE"/>
    <w:rsid w:val="00141716"/>
    <w:rsid w:val="00165286"/>
    <w:rsid w:val="001A6973"/>
    <w:rsid w:val="001E36F2"/>
    <w:rsid w:val="001E3D1E"/>
    <w:rsid w:val="00202A4F"/>
    <w:rsid w:val="00213F3B"/>
    <w:rsid w:val="002E4865"/>
    <w:rsid w:val="002F4AA4"/>
    <w:rsid w:val="00316C69"/>
    <w:rsid w:val="0032722F"/>
    <w:rsid w:val="003868F5"/>
    <w:rsid w:val="004747FD"/>
    <w:rsid w:val="00500AD2"/>
    <w:rsid w:val="00605CC5"/>
    <w:rsid w:val="00607C82"/>
    <w:rsid w:val="00631845"/>
    <w:rsid w:val="006545A3"/>
    <w:rsid w:val="006868D7"/>
    <w:rsid w:val="00697018"/>
    <w:rsid w:val="006A69E3"/>
    <w:rsid w:val="006C12D0"/>
    <w:rsid w:val="00764F11"/>
    <w:rsid w:val="007E3CDA"/>
    <w:rsid w:val="00850FF7"/>
    <w:rsid w:val="008C039F"/>
    <w:rsid w:val="00920F3A"/>
    <w:rsid w:val="0093774B"/>
    <w:rsid w:val="0094314F"/>
    <w:rsid w:val="00947063"/>
    <w:rsid w:val="00967722"/>
    <w:rsid w:val="009F5E93"/>
    <w:rsid w:val="00AF4E69"/>
    <w:rsid w:val="00B162C9"/>
    <w:rsid w:val="00B5520E"/>
    <w:rsid w:val="00C35C05"/>
    <w:rsid w:val="00C54DA8"/>
    <w:rsid w:val="00C82F38"/>
    <w:rsid w:val="00C9144A"/>
    <w:rsid w:val="00CF1247"/>
    <w:rsid w:val="00D03F3C"/>
    <w:rsid w:val="00D56217"/>
    <w:rsid w:val="00DA2BBB"/>
    <w:rsid w:val="00DA5DC7"/>
    <w:rsid w:val="00DF5E8D"/>
    <w:rsid w:val="00E20051"/>
    <w:rsid w:val="00E21B18"/>
    <w:rsid w:val="00E31E69"/>
    <w:rsid w:val="00E44AC3"/>
    <w:rsid w:val="00E53481"/>
    <w:rsid w:val="00EC4614"/>
    <w:rsid w:val="00ED582F"/>
    <w:rsid w:val="00F06AA5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CCF0E"/>
  <w15:docId w15:val="{ACD97EDE-92BE-4B3B-9301-93F3D21F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868F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868F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68F5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4747F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C9144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144A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rsid w:val="00D562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56217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rsid w:val="008C0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A614-FC50-4FFE-AC40-0118825F9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1C720-8312-47E3-A58C-6E6B7F798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C2725D-C420-4E46-B6C0-40ED85F1C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17508-0917-4B6A-8628-1569B6C7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8719</Words>
  <Characters>4970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20eebc06-9c87-4c9a-a70f-d9f9a04d848b</vt:lpstr>
      <vt:lpstr> </vt:lpstr>
    </vt:vector>
  </TitlesOfParts>
  <Company>VKS</Company>
  <LinksUpToDate>false</LinksUpToDate>
  <CharactersWithSpaces>13662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20eebc06-9c87-4c9a-a70f-d9f9a04d848b</dc:title>
  <dc:creator>Razmantienė Audronė</dc:creator>
  <cp:lastModifiedBy>Arvydas Judickas</cp:lastModifiedBy>
  <cp:revision>2</cp:revision>
  <cp:lastPrinted>2020-01-13T09:19:00Z</cp:lastPrinted>
  <dcterms:created xsi:type="dcterms:W3CDTF">2020-01-14T07:05:00Z</dcterms:created>
  <dcterms:modified xsi:type="dcterms:W3CDTF">2020-01-14T07:05:00Z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