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BC" w:rsidRPr="006A2988" w:rsidRDefault="00FB2EBC" w:rsidP="00FB2EBC">
      <w:pPr>
        <w:ind w:left="4678"/>
        <w:jc w:val="both"/>
        <w:rPr>
          <w:color w:val="000000"/>
          <w:spacing w:val="-1"/>
        </w:rPr>
      </w:pPr>
      <w:bookmarkStart w:id="0" w:name="_GoBack"/>
      <w:bookmarkEnd w:id="0"/>
      <w:r w:rsidRPr="006A2988">
        <w:rPr>
          <w:color w:val="000000"/>
          <w:spacing w:val="-1"/>
        </w:rPr>
        <w:t>PATVIRTINTA</w:t>
      </w:r>
    </w:p>
    <w:p w:rsidR="00FB2EBC" w:rsidRPr="006A2988" w:rsidRDefault="00FB2EBC" w:rsidP="00FB2EBC">
      <w:pPr>
        <w:ind w:left="4678"/>
        <w:jc w:val="both"/>
        <w:rPr>
          <w:color w:val="000000"/>
          <w:spacing w:val="-1"/>
        </w:rPr>
      </w:pPr>
      <w:r w:rsidRPr="006A2988">
        <w:rPr>
          <w:color w:val="000000"/>
          <w:spacing w:val="-1"/>
        </w:rPr>
        <w:t>Vilkaviškio r. Kybartų „Saulės“ progimnazijos</w:t>
      </w:r>
    </w:p>
    <w:p w:rsidR="009A6430" w:rsidRDefault="00FB2EBC" w:rsidP="00FB2EBC">
      <w:pPr>
        <w:ind w:left="4678"/>
        <w:jc w:val="both"/>
      </w:pPr>
      <w:r w:rsidRPr="006A2988">
        <w:t xml:space="preserve">direktoriaus 2017 m. </w:t>
      </w:r>
      <w:r w:rsidR="009A6430">
        <w:t>liepos 3</w:t>
      </w:r>
      <w:r w:rsidRPr="006A2988">
        <w:t xml:space="preserve"> d.</w:t>
      </w:r>
      <w:r>
        <w:t xml:space="preserve"> </w:t>
      </w:r>
    </w:p>
    <w:p w:rsidR="00FB2EBC" w:rsidRDefault="009A6430" w:rsidP="00FB2EBC">
      <w:pPr>
        <w:ind w:left="4678"/>
        <w:jc w:val="both"/>
        <w:rPr>
          <w:lang w:eastAsia="lt-LT"/>
        </w:rPr>
      </w:pPr>
      <w:r>
        <w:t>įsakymu Nr. ĮV-72</w:t>
      </w:r>
      <w:r w:rsidR="00FB2EBC" w:rsidRPr="006A2988">
        <w:t xml:space="preserve">   </w:t>
      </w:r>
    </w:p>
    <w:p w:rsidR="00FB2EBC" w:rsidRDefault="00FB2EBC" w:rsidP="00FB2EBC">
      <w:pPr>
        <w:tabs>
          <w:tab w:val="center" w:pos="4153"/>
          <w:tab w:val="right" w:pos="8306"/>
        </w:tabs>
        <w:rPr>
          <w:lang w:eastAsia="lt-LT"/>
        </w:rPr>
      </w:pPr>
    </w:p>
    <w:p w:rsidR="00FB2EBC" w:rsidRDefault="00FB2EBC" w:rsidP="00FB2EBC">
      <w:pPr>
        <w:tabs>
          <w:tab w:val="left" w:pos="6237"/>
          <w:tab w:val="right" w:pos="8306"/>
        </w:tabs>
        <w:rPr>
          <w:color w:val="000000"/>
          <w:lang w:eastAsia="lt-LT"/>
        </w:rPr>
      </w:pPr>
    </w:p>
    <w:p w:rsidR="00FB2EBC" w:rsidRDefault="00FB2EBC" w:rsidP="00FB2EBC">
      <w:pPr>
        <w:pStyle w:val="Pavadinimas"/>
      </w:pPr>
      <w:r>
        <w:t>VILKAVIŠKIO R. KYBARTŲ „SAULĖS“ PROGIMNAZIJOS</w:t>
      </w:r>
    </w:p>
    <w:p w:rsidR="00FB2EBC" w:rsidRDefault="00FB2EBC" w:rsidP="00FB2EBC">
      <w:pPr>
        <w:jc w:val="center"/>
        <w:rPr>
          <w:lang w:eastAsia="lt-LT"/>
        </w:rPr>
      </w:pPr>
      <w:r>
        <w:rPr>
          <w:b/>
          <w:lang w:eastAsia="lt-LT"/>
        </w:rPr>
        <w:t>DIENPINIGIŲ MOKĖJIMO TVARKOS APRAŠAS</w:t>
      </w:r>
    </w:p>
    <w:p w:rsidR="00FB2EBC" w:rsidRDefault="00FB2EBC" w:rsidP="00FB2EBC">
      <w:pPr>
        <w:ind w:firstLine="720"/>
        <w:rPr>
          <w:lang w:eastAsia="lt-LT"/>
        </w:rPr>
      </w:pPr>
    </w:p>
    <w:p w:rsidR="00FB2EBC" w:rsidRPr="00D00163" w:rsidRDefault="00FB2EBC" w:rsidP="00D00163">
      <w:pPr>
        <w:ind w:firstLine="567"/>
        <w:jc w:val="both"/>
        <w:rPr>
          <w:szCs w:val="24"/>
        </w:rPr>
      </w:pPr>
      <w:r>
        <w:rPr>
          <w:lang w:eastAsia="lt-LT"/>
        </w:rPr>
        <w:t xml:space="preserve">1. </w:t>
      </w:r>
      <w:r w:rsidR="00C00184">
        <w:rPr>
          <w:lang w:eastAsia="lt-LT"/>
        </w:rPr>
        <w:t xml:space="preserve">Vilkaviškio r. Kybartų „Saulės“ progimnazijos (toliau – Progimnazija) </w:t>
      </w:r>
      <w:r>
        <w:rPr>
          <w:lang w:eastAsia="lt-LT"/>
        </w:rPr>
        <w:t>Die</w:t>
      </w:r>
      <w:r w:rsidR="00C00184">
        <w:rPr>
          <w:lang w:eastAsia="lt-LT"/>
        </w:rPr>
        <w:t>npinigių mokėjimo tvarkos aprašas</w:t>
      </w:r>
      <w:r w:rsidR="00AE2364">
        <w:rPr>
          <w:lang w:eastAsia="lt-LT"/>
        </w:rPr>
        <w:t xml:space="preserve"> (toliau – Aprašas)</w:t>
      </w:r>
      <w:r w:rsidR="00C81EA2">
        <w:rPr>
          <w:lang w:eastAsia="lt-LT"/>
        </w:rPr>
        <w:t xml:space="preserve"> parengtas</w:t>
      </w:r>
      <w:r w:rsidR="00C00184">
        <w:rPr>
          <w:lang w:eastAsia="lt-LT"/>
        </w:rPr>
        <w:t xml:space="preserve"> vadovaujantis Lietuvos Respublikos Vyriausybės </w:t>
      </w:r>
      <w:r w:rsidR="00C00184">
        <w:t xml:space="preserve">2017 m. birželio 28 d. nutarimu Nr. 523 </w:t>
      </w:r>
      <w:r w:rsidR="00C00184" w:rsidRPr="00C00184">
        <w:t>„</w:t>
      </w:r>
      <w:r w:rsidR="00C00184">
        <w:rPr>
          <w:bCs/>
          <w:szCs w:val="24"/>
        </w:rPr>
        <w:t>Dėl Lietuvos Respublikos V</w:t>
      </w:r>
      <w:r w:rsidR="00C00184" w:rsidRPr="00C00184">
        <w:rPr>
          <w:bCs/>
          <w:szCs w:val="24"/>
        </w:rPr>
        <w:t>yriausybės 20</w:t>
      </w:r>
      <w:r w:rsidR="00D00163">
        <w:rPr>
          <w:bCs/>
          <w:szCs w:val="24"/>
        </w:rPr>
        <w:t>04 m. balandžio 29 d. nutarimo N</w:t>
      </w:r>
      <w:r w:rsidR="00741411">
        <w:rPr>
          <w:bCs/>
          <w:szCs w:val="24"/>
        </w:rPr>
        <w:t>r. 526 „D</w:t>
      </w:r>
      <w:r w:rsidR="00C00184" w:rsidRPr="00C00184">
        <w:rPr>
          <w:bCs/>
          <w:szCs w:val="24"/>
        </w:rPr>
        <w:t>ėl tarnybinių komandiruočių išlaidų apmokėjimo biudžetinėse įstaigose taisyklių patvirtinimo“ pakeitimo</w:t>
      </w:r>
      <w:r w:rsidR="00C00184">
        <w:rPr>
          <w:bCs/>
          <w:szCs w:val="24"/>
        </w:rPr>
        <w:t>“.</w:t>
      </w:r>
      <w:r w:rsidR="00D00163">
        <w:rPr>
          <w:szCs w:val="24"/>
        </w:rPr>
        <w:t xml:space="preserve"> Šiuo Aprašu</w:t>
      </w:r>
      <w:r>
        <w:rPr>
          <w:lang w:eastAsia="lt-LT"/>
        </w:rPr>
        <w:t xml:space="preserve"> nustatoma dienpinigių į komandiruotę vykstančiam valstybės politikui arba valstybės pareigūnui, arba valstybės tarnautojui, arba darbuotojui, dirbančiam pagal darbo sutartį (toliau kartu – darbuotojas), mokėjimo tvarka.</w:t>
      </w:r>
    </w:p>
    <w:p w:rsidR="00FB2EBC" w:rsidRDefault="00FB2EBC" w:rsidP="00D00163">
      <w:pPr>
        <w:ind w:firstLine="567"/>
        <w:jc w:val="both"/>
        <w:rPr>
          <w:lang w:eastAsia="lt-LT"/>
        </w:rPr>
      </w:pPr>
      <w:r>
        <w:rPr>
          <w:lang w:eastAsia="lt-LT"/>
        </w:rPr>
        <w:t xml:space="preserve">2. Dienpinigiai apskaičiuojami pagal Lietuvos Respublikos Vyriausybės patvirtintus maksimalius dienpinigių dydžius. </w:t>
      </w:r>
    </w:p>
    <w:p w:rsidR="00FB2EBC" w:rsidRDefault="00FB2EBC" w:rsidP="007F542D">
      <w:pPr>
        <w:ind w:firstLine="567"/>
        <w:jc w:val="both"/>
        <w:rPr>
          <w:lang w:eastAsia="lt-LT"/>
        </w:rPr>
      </w:pPr>
      <w:r>
        <w:rPr>
          <w:lang w:eastAsia="lt-LT"/>
        </w:rPr>
        <w:t>3. Vykstant į užsienį, už dieną, kurią perv</w:t>
      </w:r>
      <w:r w:rsidR="002E2E4A">
        <w:rPr>
          <w:lang w:eastAsia="lt-LT"/>
        </w:rPr>
        <w:t>ažiuojama Lietuvos Respublikos V</w:t>
      </w:r>
      <w:r>
        <w:rPr>
          <w:lang w:eastAsia="lt-LT"/>
        </w:rPr>
        <w:t>alstybės siena, mokami dienpinigiai, apskaičiuoti pagal valstybei, į kurią vykstama, nustatytus dydžius, o grįžtant iš užsienio, už dieną, kurią perv</w:t>
      </w:r>
      <w:r w:rsidR="002E2E4A">
        <w:rPr>
          <w:lang w:eastAsia="lt-LT"/>
        </w:rPr>
        <w:t>ažiuojama Lietuvos Respublikos V</w:t>
      </w:r>
      <w:r>
        <w:rPr>
          <w:lang w:eastAsia="lt-LT"/>
        </w:rPr>
        <w:t>alstybės siena, mokama iki 50 procentų dienpinigių, apskaičiuotų pagal tai valstybei nustatytus dydžius. Jeigu komandiruotės metu bus vykstama į kelias valstybes, nustatytas dydis taikomas atsižvelgiant į kiekvienoje valstybėje faktiškai išbūtas dienas, o pervažiavimo į valstybę diena laikoma atvykimo į tą valstybę diena.</w:t>
      </w:r>
    </w:p>
    <w:p w:rsidR="00FB2EBC" w:rsidRDefault="00FB2EBC" w:rsidP="007F542D">
      <w:pPr>
        <w:ind w:firstLine="567"/>
        <w:jc w:val="both"/>
        <w:rPr>
          <w:lang w:eastAsia="lt-LT"/>
        </w:rPr>
      </w:pPr>
      <w:r>
        <w:rPr>
          <w:lang w:eastAsia="lt-LT"/>
        </w:rPr>
        <w:t>4. Kai darbuotojas, vykdamas į komandiruotę, tą pačią dieną atvyksta į kelias valstybes, už tą dieną mokamas dienpinigių, apskaičiuotų pagal toms valstybėms nustatytus dydžius, vidurkis.</w:t>
      </w:r>
    </w:p>
    <w:p w:rsidR="00FB2EBC" w:rsidRDefault="00FB2EBC" w:rsidP="00711282">
      <w:pPr>
        <w:ind w:firstLine="567"/>
        <w:jc w:val="both"/>
        <w:rPr>
          <w:lang w:eastAsia="lt-LT"/>
        </w:rPr>
      </w:pPr>
      <w:r>
        <w:rPr>
          <w:lang w:eastAsia="lt-LT"/>
        </w:rPr>
        <w:t>5.</w:t>
      </w:r>
      <w:r w:rsidR="00711282">
        <w:rPr>
          <w:lang w:eastAsia="lt-LT"/>
        </w:rPr>
        <w:t xml:space="preserve"> </w:t>
      </w:r>
      <w:r>
        <w:rPr>
          <w:lang w:eastAsia="lt-LT"/>
        </w:rPr>
        <w:t xml:space="preserve">Kai komandiruotė į užsienį trunka vieną darbo dieną (pamainą), darbuotojui mokama iki 50 procentų dienpinigių, apskaičiuotų pagal tai valstybei nustatytus dydžius, o jeigu darbuotojas tą pačią dieną atvyksta į kelias valstybes, už tą dieną mokamas dienpinigių, apskaičiuotų pagal toms valstybėms nustatytus dydžius, vidurkis. </w:t>
      </w:r>
    </w:p>
    <w:p w:rsidR="00FB2EBC" w:rsidRDefault="00711282" w:rsidP="00C81EA2">
      <w:pPr>
        <w:ind w:firstLine="567"/>
        <w:jc w:val="both"/>
        <w:rPr>
          <w:lang w:eastAsia="lt-LT"/>
        </w:rPr>
      </w:pPr>
      <w:r>
        <w:rPr>
          <w:lang w:eastAsia="lt-LT"/>
        </w:rPr>
        <w:t>6</w:t>
      </w:r>
      <w:r w:rsidR="00FB2EBC">
        <w:rPr>
          <w:lang w:eastAsia="lt-LT"/>
        </w:rPr>
        <w:t>. Darbuotojui, vykstančiam į komandiruotę į užsienį, jeigu toje valstybėje jam mokami dienpinigiai ar kitos piniginės išmokos, įstaigos vadovo ar jo įgalioto asmens sprendimu gali būti išmokėta iki 30 procentų toje valstybėje nustatyto dydžio dienpinigių, o aprūpinamam maitinimu, įstaigos vadovo ar jo įgalioto asmens sprendimu, atsižvelgiant į renginio organizatoriaus nustatytas</w:t>
      </w:r>
      <w:r w:rsidR="00C81EA2">
        <w:rPr>
          <w:lang w:eastAsia="lt-LT"/>
        </w:rPr>
        <w:t xml:space="preserve"> </w:t>
      </w:r>
      <w:r w:rsidR="00FB2EBC">
        <w:rPr>
          <w:lang w:eastAsia="lt-LT"/>
        </w:rPr>
        <w:t>aprūpinimo sąlygas, gali būti išmokėti dienpinigiai iki 100 procentų toje valstybėje nustatyto dydžio dienpinigių.</w:t>
      </w:r>
    </w:p>
    <w:p w:rsidR="00FB2EBC" w:rsidRDefault="00711282" w:rsidP="007F542D">
      <w:pPr>
        <w:ind w:firstLine="567"/>
        <w:jc w:val="both"/>
        <w:rPr>
          <w:lang w:eastAsia="lt-LT"/>
        </w:rPr>
      </w:pPr>
      <w:r>
        <w:rPr>
          <w:lang w:eastAsia="lt-LT"/>
        </w:rPr>
        <w:t>7</w:t>
      </w:r>
      <w:r w:rsidR="00FB2EBC">
        <w:rPr>
          <w:lang w:eastAsia="lt-LT"/>
        </w:rPr>
        <w:t>. Jeigu kolektyvinėj</w:t>
      </w:r>
      <w:r w:rsidR="00C81EA2">
        <w:rPr>
          <w:lang w:eastAsia="lt-LT"/>
        </w:rPr>
        <w:t>e ar darbo sutartyje ir (arba) V</w:t>
      </w:r>
      <w:r w:rsidR="00FB2EBC">
        <w:rPr>
          <w:lang w:eastAsia="lt-LT"/>
        </w:rPr>
        <w:t>alstybės ar savivaldybės institucijos ar įstaigos vidaus teisės aktuose nenustatyta kitaip, ne vėliau kaip paskutinę darbo dieną iki komandiruotės pradžios darbuotojui privalo būti išmokėtas ne mažesnis kaip 50 procentų už komandiruotę apskaičiuotų dienpinigių avansas.</w:t>
      </w:r>
    </w:p>
    <w:p w:rsidR="00FB2EBC" w:rsidRDefault="00711282" w:rsidP="007F542D">
      <w:pPr>
        <w:ind w:firstLine="567"/>
        <w:jc w:val="both"/>
        <w:rPr>
          <w:lang w:eastAsia="lt-LT"/>
        </w:rPr>
      </w:pPr>
      <w:r>
        <w:rPr>
          <w:lang w:eastAsia="lt-LT"/>
        </w:rPr>
        <w:t>8</w:t>
      </w:r>
      <w:r w:rsidR="00FB2EBC">
        <w:rPr>
          <w:lang w:eastAsia="lt-LT"/>
        </w:rPr>
        <w:t>. Komandiruotam darbuotojui grįžus iš komandiruotės, dienpinigiai perskaičiuojami ir neišmokėta dienpinigių dalis išmokama ne vėliau kaip darbo užmokesčio mokėjimo dieną.</w:t>
      </w:r>
    </w:p>
    <w:p w:rsidR="00FB2EBC" w:rsidRDefault="00711282" w:rsidP="007F542D">
      <w:pPr>
        <w:ind w:firstLine="567"/>
        <w:jc w:val="both"/>
        <w:rPr>
          <w:lang w:eastAsia="lt-LT"/>
        </w:rPr>
      </w:pPr>
      <w:r>
        <w:rPr>
          <w:lang w:eastAsia="lt-LT"/>
        </w:rPr>
        <w:t>9</w:t>
      </w:r>
      <w:r w:rsidR="00FB2EBC">
        <w:rPr>
          <w:lang w:eastAsia="lt-LT"/>
        </w:rPr>
        <w:t>. Dienpinigiai, kurių bendra suma per mėnesį viršija 50 procentų darbuotojui nustatyto darbo užmokesčio, tuo atveju, kai darbuotojui nustatytas darbo užmokestis neviršija minimaliosios mėnesinės algos, padaugintos iš koeficiento 1,3, arba</w:t>
      </w:r>
      <w:r w:rsidR="00C81EA2">
        <w:rPr>
          <w:lang w:eastAsia="lt-LT"/>
        </w:rPr>
        <w:t>,</w:t>
      </w:r>
      <w:r w:rsidR="00FB2EBC">
        <w:rPr>
          <w:lang w:eastAsia="lt-LT"/>
        </w:rPr>
        <w:t xml:space="preserve"> kai darbo užmokestis apskaičiuotas taikant valandinį tarifinį atlygį, neviršijantį minimaliojo valandinio atlygio, padauginto iš koeficiento 1,3, nelaikomi komandiruočių kompensacijomis.</w:t>
      </w:r>
    </w:p>
    <w:p w:rsidR="00FB2EBC" w:rsidRDefault="00FB2EBC" w:rsidP="00FB2EBC">
      <w:pPr>
        <w:tabs>
          <w:tab w:val="left" w:pos="6237"/>
          <w:tab w:val="right" w:pos="8306"/>
        </w:tabs>
        <w:rPr>
          <w:color w:val="000000"/>
          <w:lang w:eastAsia="lt-LT"/>
        </w:rPr>
      </w:pPr>
    </w:p>
    <w:p w:rsidR="00C769E8" w:rsidRDefault="00FB2EBC" w:rsidP="00FB2EBC">
      <w:pPr>
        <w:tabs>
          <w:tab w:val="left" w:pos="6237"/>
          <w:tab w:val="right" w:pos="8306"/>
        </w:tabs>
        <w:jc w:val="center"/>
      </w:pPr>
      <w:r>
        <w:rPr>
          <w:color w:val="000000"/>
          <w:lang w:eastAsia="lt-LT"/>
        </w:rPr>
        <w:t>––––––––––––––––––––</w:t>
      </w:r>
    </w:p>
    <w:sectPr w:rsidR="00C769E8" w:rsidSect="00C81EA2">
      <w:pgSz w:w="11907" w:h="16840" w:code="9"/>
      <w:pgMar w:top="1134" w:right="567" w:bottom="1134" w:left="1701" w:header="0" w:footer="0" w:gutter="0"/>
      <w:cols w:space="1296"/>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80A" w:rsidRDefault="00E3480A" w:rsidP="00C81EA2">
      <w:r>
        <w:separator/>
      </w:r>
    </w:p>
  </w:endnote>
  <w:endnote w:type="continuationSeparator" w:id="0">
    <w:p w:rsidR="00E3480A" w:rsidRDefault="00E3480A" w:rsidP="00C8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80A" w:rsidRDefault="00E3480A" w:rsidP="00C81EA2">
      <w:r>
        <w:separator/>
      </w:r>
    </w:p>
  </w:footnote>
  <w:footnote w:type="continuationSeparator" w:id="0">
    <w:p w:rsidR="00E3480A" w:rsidRDefault="00E3480A" w:rsidP="00C81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BC"/>
    <w:rsid w:val="00254B70"/>
    <w:rsid w:val="002E2E4A"/>
    <w:rsid w:val="003D278F"/>
    <w:rsid w:val="00711282"/>
    <w:rsid w:val="00741411"/>
    <w:rsid w:val="007F542D"/>
    <w:rsid w:val="009A6430"/>
    <w:rsid w:val="00AC6AE1"/>
    <w:rsid w:val="00AE2364"/>
    <w:rsid w:val="00B55345"/>
    <w:rsid w:val="00B62ADB"/>
    <w:rsid w:val="00C00184"/>
    <w:rsid w:val="00C23D7D"/>
    <w:rsid w:val="00C769E8"/>
    <w:rsid w:val="00C81EA2"/>
    <w:rsid w:val="00D00163"/>
    <w:rsid w:val="00E3480A"/>
    <w:rsid w:val="00FB2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2EBC"/>
    <w:pPr>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Antrinispavadinimas"/>
    <w:link w:val="PavadinimasDiagrama"/>
    <w:qFormat/>
    <w:rsid w:val="00FB2EBC"/>
    <w:pPr>
      <w:suppressAutoHyphens/>
      <w:jc w:val="center"/>
    </w:pPr>
    <w:rPr>
      <w:b/>
      <w:lang w:eastAsia="lt-LT"/>
    </w:rPr>
  </w:style>
  <w:style w:type="character" w:customStyle="1" w:styleId="PavadinimasDiagrama">
    <w:name w:val="Pavadinimas Diagrama"/>
    <w:basedOn w:val="Numatytasispastraiposriftas"/>
    <w:link w:val="Pavadinimas"/>
    <w:rsid w:val="00FB2EBC"/>
    <w:rPr>
      <w:rFonts w:ascii="Times New Roman" w:eastAsia="Times New Roman" w:hAnsi="Times New Roman" w:cs="Times New Roman"/>
      <w:b/>
      <w:sz w:val="24"/>
      <w:szCs w:val="20"/>
      <w:lang w:eastAsia="lt-LT"/>
    </w:rPr>
  </w:style>
  <w:style w:type="paragraph" w:styleId="Antrinispavadinimas">
    <w:name w:val="Subtitle"/>
    <w:basedOn w:val="prastasis"/>
    <w:next w:val="prastasis"/>
    <w:link w:val="AntrinispavadinimasDiagrama"/>
    <w:uiPriority w:val="11"/>
    <w:qFormat/>
    <w:rsid w:val="00FB2EBC"/>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uiPriority w:val="11"/>
    <w:rsid w:val="00FB2EBC"/>
    <w:rPr>
      <w:rFonts w:asciiTheme="majorHAnsi" w:eastAsiaTheme="majorEastAsia" w:hAnsiTheme="majorHAnsi" w:cstheme="majorBidi"/>
      <w:i/>
      <w:iCs/>
      <w:color w:val="4F81BD" w:themeColor="accent1"/>
      <w:spacing w:val="15"/>
      <w:sz w:val="24"/>
      <w:szCs w:val="24"/>
    </w:rPr>
  </w:style>
  <w:style w:type="paragraph" w:styleId="Antrats">
    <w:name w:val="header"/>
    <w:basedOn w:val="prastasis"/>
    <w:link w:val="AntratsDiagrama"/>
    <w:uiPriority w:val="99"/>
    <w:unhideWhenUsed/>
    <w:rsid w:val="00C81EA2"/>
    <w:pPr>
      <w:tabs>
        <w:tab w:val="center" w:pos="4680"/>
        <w:tab w:val="right" w:pos="9360"/>
      </w:tabs>
    </w:pPr>
  </w:style>
  <w:style w:type="character" w:customStyle="1" w:styleId="AntratsDiagrama">
    <w:name w:val="Antraštės Diagrama"/>
    <w:basedOn w:val="Numatytasispastraiposriftas"/>
    <w:link w:val="Antrats"/>
    <w:uiPriority w:val="99"/>
    <w:rsid w:val="00C81EA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81EA2"/>
    <w:pPr>
      <w:tabs>
        <w:tab w:val="center" w:pos="4680"/>
        <w:tab w:val="right" w:pos="9360"/>
      </w:tabs>
    </w:pPr>
  </w:style>
  <w:style w:type="character" w:customStyle="1" w:styleId="PoratDiagrama">
    <w:name w:val="Poraštė Diagrama"/>
    <w:basedOn w:val="Numatytasispastraiposriftas"/>
    <w:link w:val="Porat"/>
    <w:uiPriority w:val="99"/>
    <w:rsid w:val="00C81EA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2EBC"/>
    <w:pPr>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Antrinispavadinimas"/>
    <w:link w:val="PavadinimasDiagrama"/>
    <w:qFormat/>
    <w:rsid w:val="00FB2EBC"/>
    <w:pPr>
      <w:suppressAutoHyphens/>
      <w:jc w:val="center"/>
    </w:pPr>
    <w:rPr>
      <w:b/>
      <w:lang w:eastAsia="lt-LT"/>
    </w:rPr>
  </w:style>
  <w:style w:type="character" w:customStyle="1" w:styleId="PavadinimasDiagrama">
    <w:name w:val="Pavadinimas Diagrama"/>
    <w:basedOn w:val="Numatytasispastraiposriftas"/>
    <w:link w:val="Pavadinimas"/>
    <w:rsid w:val="00FB2EBC"/>
    <w:rPr>
      <w:rFonts w:ascii="Times New Roman" w:eastAsia="Times New Roman" w:hAnsi="Times New Roman" w:cs="Times New Roman"/>
      <w:b/>
      <w:sz w:val="24"/>
      <w:szCs w:val="20"/>
      <w:lang w:eastAsia="lt-LT"/>
    </w:rPr>
  </w:style>
  <w:style w:type="paragraph" w:styleId="Antrinispavadinimas">
    <w:name w:val="Subtitle"/>
    <w:basedOn w:val="prastasis"/>
    <w:next w:val="prastasis"/>
    <w:link w:val="AntrinispavadinimasDiagrama"/>
    <w:uiPriority w:val="11"/>
    <w:qFormat/>
    <w:rsid w:val="00FB2EBC"/>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uiPriority w:val="11"/>
    <w:rsid w:val="00FB2EBC"/>
    <w:rPr>
      <w:rFonts w:asciiTheme="majorHAnsi" w:eastAsiaTheme="majorEastAsia" w:hAnsiTheme="majorHAnsi" w:cstheme="majorBidi"/>
      <w:i/>
      <w:iCs/>
      <w:color w:val="4F81BD" w:themeColor="accent1"/>
      <w:spacing w:val="15"/>
      <w:sz w:val="24"/>
      <w:szCs w:val="24"/>
    </w:rPr>
  </w:style>
  <w:style w:type="paragraph" w:styleId="Antrats">
    <w:name w:val="header"/>
    <w:basedOn w:val="prastasis"/>
    <w:link w:val="AntratsDiagrama"/>
    <w:uiPriority w:val="99"/>
    <w:unhideWhenUsed/>
    <w:rsid w:val="00C81EA2"/>
    <w:pPr>
      <w:tabs>
        <w:tab w:val="center" w:pos="4680"/>
        <w:tab w:val="right" w:pos="9360"/>
      </w:tabs>
    </w:pPr>
  </w:style>
  <w:style w:type="character" w:customStyle="1" w:styleId="AntratsDiagrama">
    <w:name w:val="Antraštės Diagrama"/>
    <w:basedOn w:val="Numatytasispastraiposriftas"/>
    <w:link w:val="Antrats"/>
    <w:uiPriority w:val="99"/>
    <w:rsid w:val="00C81EA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81EA2"/>
    <w:pPr>
      <w:tabs>
        <w:tab w:val="center" w:pos="4680"/>
        <w:tab w:val="right" w:pos="9360"/>
      </w:tabs>
    </w:pPr>
  </w:style>
  <w:style w:type="character" w:customStyle="1" w:styleId="PoratDiagrama">
    <w:name w:val="Poraštė Diagrama"/>
    <w:basedOn w:val="Numatytasispastraiposriftas"/>
    <w:link w:val="Porat"/>
    <w:uiPriority w:val="99"/>
    <w:rsid w:val="00C81EA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8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2229</Words>
  <Characters>1272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Mokytojas</cp:lastModifiedBy>
  <cp:revision>2</cp:revision>
  <dcterms:created xsi:type="dcterms:W3CDTF">2017-08-21T05:57:00Z</dcterms:created>
  <dcterms:modified xsi:type="dcterms:W3CDTF">2017-08-21T05:57:00Z</dcterms:modified>
</cp:coreProperties>
</file>